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E8D11" w14:textId="4DF2AAAD" w:rsidR="00C26E1F" w:rsidRPr="001777A9" w:rsidRDefault="00AB559E" w:rsidP="00571406">
      <w:pPr>
        <w:ind w:left="-720" w:right="-810" w:firstLine="0"/>
        <w:jc w:val="both"/>
        <w:rPr>
          <w:rFonts w:ascii="Arial Narrow" w:hAnsi="Arial Narrow"/>
          <w:color w:val="002060"/>
          <w:sz w:val="20"/>
          <w:szCs w:val="20"/>
        </w:rPr>
      </w:pPr>
      <w:r>
        <w:rPr>
          <w:rFonts w:ascii="Arial Narrow" w:hAnsi="Arial Narrow"/>
          <w:b/>
          <w:noProof/>
          <w:color w:val="002060"/>
          <w:sz w:val="20"/>
          <w:szCs w:val="20"/>
        </w:rPr>
        <mc:AlternateContent>
          <mc:Choice Requires="wps">
            <w:drawing>
              <wp:anchor distT="0" distB="0" distL="114300" distR="114300" simplePos="0" relativeHeight="251656192" behindDoc="0" locked="0" layoutInCell="1" allowOverlap="1" wp14:anchorId="160925EA" wp14:editId="6ACA382F">
                <wp:simplePos x="0" y="0"/>
                <wp:positionH relativeFrom="column">
                  <wp:posOffset>7048500</wp:posOffset>
                </wp:positionH>
                <wp:positionV relativeFrom="paragraph">
                  <wp:posOffset>-152400</wp:posOffset>
                </wp:positionV>
                <wp:extent cx="256540" cy="9708515"/>
                <wp:effectExtent l="9525" t="9525" r="10160"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9708515"/>
                        </a:xfrm>
                        <a:prstGeom prst="rect">
                          <a:avLst/>
                        </a:prstGeom>
                        <a:solidFill>
                          <a:srgbClr val="DDDDDD"/>
                        </a:solidFill>
                        <a:ln w="9525">
                          <a:solidFill>
                            <a:srgbClr val="000000"/>
                          </a:solidFill>
                          <a:miter lim="800000"/>
                          <a:headEnd/>
                          <a:tailEnd/>
                        </a:ln>
                      </wps:spPr>
                      <wps:txbx>
                        <w:txbxContent>
                          <w:p w14:paraId="53E01CF0" w14:textId="77777777" w:rsidR="00C26E1F" w:rsidRDefault="00C26E1F" w:rsidP="00571406">
                            <w:pPr>
                              <w:ind w:right="-31" w:firstLine="0"/>
                              <w:jc w:val="center"/>
                            </w:pPr>
                            <w:r w:rsidRPr="00427360">
                              <w:rPr>
                                <w:b/>
                                <w:color w:val="000080"/>
                              </w:rPr>
                              <w:t>LOGIC ADVISORS LOGIC ADVISORS LOGIC ADVISORS LOGIC ADVISORS LOGIC</w:t>
                            </w:r>
                            <w:r>
                              <w:t xml:space="preserve"> ADVISORS LOGIC ADVISORS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925EA" id="_x0000_t202" coordsize="21600,21600" o:spt="202" path="m,l,21600r21600,l21600,xe">
                <v:stroke joinstyle="miter"/>
                <v:path gradientshapeok="t" o:connecttype="rect"/>
              </v:shapetype>
              <v:shape id="Text Box 6" o:spid="_x0000_s1026" type="#_x0000_t202" style="position:absolute;left:0;text-align:left;margin-left:555pt;margin-top:-12pt;width:20.2pt;height:7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" fillcolor="#ddd">
                <v:textbox>
                  <w:txbxContent>
                    <w:p w14:paraId="53E01CF0" w14:textId="77777777" w:rsidR="00C26E1F" w:rsidRDefault="00C26E1F" w:rsidP="00571406">
                      <w:pPr>
                        <w:ind w:right="-31" w:firstLine="0"/>
                        <w:jc w:val="center"/>
                      </w:pPr>
                      <w:r w:rsidRPr="00427360">
                        <w:rPr>
                          <w:b/>
                          <w:color w:val="000080"/>
                        </w:rPr>
                        <w:t>LOGIC ADVISORS LOGIC ADVISORS LOGIC ADVISORS LOGIC ADVISORS LOGIC</w:t>
                      </w:r>
                      <w:r>
                        <w:t xml:space="preserve"> ADVISORS LOGIC ADVISORS</w:t>
                      </w:r>
                    </w:p>
                  </w:txbxContent>
                </v:textbox>
              </v:shape>
            </w:pict>
          </mc:Fallback>
        </mc:AlternateContent>
      </w:r>
      <w:r>
        <w:rPr>
          <w:rFonts w:ascii="Arial Narrow" w:hAnsi="Arial Narrow"/>
          <w:b/>
          <w:noProof/>
          <w:color w:val="002060"/>
          <w:sz w:val="20"/>
          <w:szCs w:val="20"/>
        </w:rPr>
        <mc:AlternateContent>
          <mc:Choice Requires="wps">
            <w:drawing>
              <wp:anchor distT="0" distB="0" distL="114300" distR="114300" simplePos="0" relativeHeight="251659264" behindDoc="1" locked="0" layoutInCell="1" allowOverlap="1" wp14:anchorId="78003DDF" wp14:editId="6F6BE138">
                <wp:simplePos x="0" y="0"/>
                <wp:positionH relativeFrom="column">
                  <wp:posOffset>2489835</wp:posOffset>
                </wp:positionH>
                <wp:positionV relativeFrom="paragraph">
                  <wp:posOffset>-78740</wp:posOffset>
                </wp:positionV>
                <wp:extent cx="457200" cy="10630535"/>
                <wp:effectExtent l="381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63053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57061" w14:textId="77777777" w:rsidR="00C26E1F" w:rsidRPr="00C26E1F" w:rsidRDefault="00C26E1F" w:rsidP="009E101C">
                            <w:pPr>
                              <w:ind w:firstLine="0"/>
                              <w:jc w:val="center"/>
                              <w:rPr>
                                <w:color w:val="CCECFF"/>
                                <w:sz w:val="76"/>
                                <w:szCs w:val="76"/>
                              </w:rPr>
                            </w:pPr>
                            <w:r w:rsidRPr="00C26E1F">
                              <w:rPr>
                                <w:color w:val="CCECFF"/>
                                <w:sz w:val="76"/>
                                <w:szCs w:val="76"/>
                              </w:rPr>
                              <w:t xml:space="preserve">LOGIC Advisors </w:t>
                            </w:r>
                            <w:r w:rsidRPr="00C26E1F">
                              <w:rPr>
                                <w:b/>
                                <w:color w:val="CCECFF"/>
                                <w:sz w:val="76"/>
                                <w:szCs w:val="7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3DDF" id="Text Box 7" o:spid="_x0000_s1027" type="#_x0000_t202" style="position:absolute;left:0;text-align:left;margin-left:196.05pt;margin-top:-6.2pt;width:36pt;height:8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" filled="f" fillcolor="#ddd" stroked="f">
                <v:textbox>
                  <w:txbxContent>
                    <w:p w14:paraId="6FA57061" w14:textId="77777777" w:rsidR="00C26E1F" w:rsidRPr="00C26E1F" w:rsidRDefault="00C26E1F" w:rsidP="009E101C">
                      <w:pPr>
                        <w:ind w:firstLine="0"/>
                        <w:jc w:val="center"/>
                        <w:rPr>
                          <w:color w:val="CCECFF"/>
                          <w:sz w:val="76"/>
                          <w:szCs w:val="76"/>
                        </w:rPr>
                      </w:pPr>
                      <w:r w:rsidRPr="00C26E1F">
                        <w:rPr>
                          <w:color w:val="CCECFF"/>
                          <w:sz w:val="76"/>
                          <w:szCs w:val="76"/>
                        </w:rPr>
                        <w:t xml:space="preserve">LOGIC Advisors </w:t>
                      </w:r>
                      <w:r w:rsidRPr="00C26E1F">
                        <w:rPr>
                          <w:b/>
                          <w:color w:val="CCECFF"/>
                          <w:sz w:val="76"/>
                          <w:szCs w:val="76"/>
                        </w:rPr>
                        <w:t>©</w:t>
                      </w:r>
                    </w:p>
                  </w:txbxContent>
                </v:textbox>
              </v:shape>
            </w:pict>
          </mc:Fallback>
        </mc:AlternateContent>
      </w:r>
      <w:r>
        <w:rPr>
          <w:rFonts w:ascii="Arial Narrow" w:hAnsi="Arial Narrow"/>
          <w:noProof/>
          <w:color w:val="002060"/>
          <w:sz w:val="20"/>
          <w:szCs w:val="20"/>
        </w:rPr>
        <w:drawing>
          <wp:anchor distT="0" distB="0" distL="114300" distR="114300" simplePos="0" relativeHeight="251658240" behindDoc="1" locked="0" layoutInCell="1" allowOverlap="1" wp14:anchorId="3C52993C" wp14:editId="01AC0A2F">
            <wp:simplePos x="0" y="0"/>
            <wp:positionH relativeFrom="column">
              <wp:posOffset>-278765</wp:posOffset>
            </wp:positionH>
            <wp:positionV relativeFrom="paragraph">
              <wp:posOffset>69850</wp:posOffset>
            </wp:positionV>
            <wp:extent cx="1648460" cy="988695"/>
            <wp:effectExtent l="0" t="0" r="0" b="0"/>
            <wp:wrapNone/>
            <wp:docPr id="8" name="Picture 2" descr="Logic Advisors Logo 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c Advisors Logo O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460" cy="988695"/>
                    </a:xfrm>
                    <a:prstGeom prst="rect">
                      <a:avLst/>
                    </a:prstGeom>
                    <a:noFill/>
                  </pic:spPr>
                </pic:pic>
              </a:graphicData>
            </a:graphic>
            <wp14:sizeRelH relativeFrom="page">
              <wp14:pctWidth>0</wp14:pctWidth>
            </wp14:sizeRelH>
            <wp14:sizeRelV relativeFrom="page">
              <wp14:pctHeight>0</wp14:pctHeight>
            </wp14:sizeRelV>
          </wp:anchor>
        </w:drawing>
      </w:r>
    </w:p>
    <w:p w14:paraId="5D1666AB" w14:textId="77777777" w:rsidR="00C26E1F" w:rsidRPr="001777A9" w:rsidRDefault="00C26E1F" w:rsidP="00571406">
      <w:pPr>
        <w:ind w:left="-720" w:right="-810" w:firstLine="0"/>
        <w:jc w:val="both"/>
        <w:rPr>
          <w:rFonts w:ascii="Arial Narrow" w:hAnsi="Arial Narrow"/>
          <w:color w:val="002060"/>
          <w:sz w:val="20"/>
          <w:szCs w:val="20"/>
        </w:rPr>
      </w:pPr>
    </w:p>
    <w:p w14:paraId="3F6D8F61" w14:textId="77777777" w:rsidR="00C26E1F" w:rsidRPr="001777A9" w:rsidRDefault="00C26E1F" w:rsidP="00571406">
      <w:pPr>
        <w:ind w:left="-720" w:right="-810" w:firstLine="0"/>
        <w:jc w:val="both"/>
        <w:rPr>
          <w:rFonts w:ascii="Arial Narrow" w:hAnsi="Arial Narrow"/>
          <w:color w:val="002060"/>
          <w:sz w:val="20"/>
          <w:szCs w:val="20"/>
        </w:rPr>
      </w:pPr>
    </w:p>
    <w:p w14:paraId="69224D3C" w14:textId="77777777" w:rsidR="001777A9" w:rsidRPr="001777A9" w:rsidRDefault="001777A9" w:rsidP="00571406">
      <w:pPr>
        <w:ind w:left="-720" w:right="-810" w:firstLine="0"/>
        <w:jc w:val="both"/>
        <w:rPr>
          <w:rFonts w:ascii="Arial Narrow" w:hAnsi="Arial Narrow"/>
          <w:color w:val="002060"/>
          <w:sz w:val="20"/>
          <w:szCs w:val="20"/>
        </w:rPr>
      </w:pPr>
    </w:p>
    <w:p w14:paraId="63F9DE32" w14:textId="77777777" w:rsidR="00C26E1F" w:rsidRPr="001777A9" w:rsidRDefault="00C26E1F" w:rsidP="00571406">
      <w:pPr>
        <w:ind w:left="-720" w:right="-810" w:firstLine="0"/>
        <w:jc w:val="both"/>
        <w:rPr>
          <w:rFonts w:ascii="Arial Narrow" w:hAnsi="Arial Narrow"/>
          <w:color w:val="002060"/>
          <w:sz w:val="20"/>
          <w:szCs w:val="20"/>
        </w:rPr>
      </w:pPr>
    </w:p>
    <w:p w14:paraId="03CE177C" w14:textId="77777777" w:rsidR="00C26E1F" w:rsidRPr="001777A9" w:rsidRDefault="00C26E1F" w:rsidP="00571406">
      <w:pPr>
        <w:ind w:left="-720" w:right="-810" w:firstLine="0"/>
        <w:jc w:val="both"/>
        <w:rPr>
          <w:rFonts w:ascii="Arial Narrow" w:hAnsi="Arial Narrow"/>
          <w:color w:val="002060"/>
          <w:sz w:val="20"/>
          <w:szCs w:val="20"/>
        </w:rPr>
      </w:pPr>
    </w:p>
    <w:p w14:paraId="7E00364F" w14:textId="01F9EF40" w:rsidR="002621D8" w:rsidRDefault="0064688E" w:rsidP="002621D8">
      <w:pPr>
        <w:rPr>
          <w:rFonts w:ascii="Arial" w:hAnsi="Arial" w:cs="Arial"/>
          <w:b/>
          <w:color w:val="FF0000"/>
          <w:sz w:val="20"/>
          <w:szCs w:val="20"/>
        </w:rPr>
      </w:pPr>
      <w:r>
        <w:rPr>
          <w:rFonts w:ascii="Arial" w:hAnsi="Arial" w:cs="Arial"/>
          <w:b/>
          <w:color w:val="000000"/>
          <w:sz w:val="20"/>
          <w:szCs w:val="20"/>
        </w:rPr>
        <w:tab/>
      </w:r>
    </w:p>
    <w:p w14:paraId="0136C063" w14:textId="77777777" w:rsidR="00337E2C" w:rsidRPr="00D8538F" w:rsidRDefault="00337E2C" w:rsidP="004E3720">
      <w:pPr>
        <w:ind w:left="7920" w:firstLine="720"/>
        <w:rPr>
          <w:rFonts w:ascii="Arial" w:hAnsi="Arial" w:cs="Arial"/>
          <w:b/>
          <w:color w:val="FF0000"/>
          <w:sz w:val="24"/>
          <w:szCs w:val="24"/>
        </w:rPr>
      </w:pPr>
    </w:p>
    <w:p w14:paraId="1BF349BF" w14:textId="246D6764" w:rsidR="00D8538F" w:rsidRPr="00D8538F" w:rsidRDefault="00D8538F" w:rsidP="00D8538F">
      <w:pPr>
        <w:ind w:left="7920" w:firstLine="720"/>
        <w:rPr>
          <w:rFonts w:ascii="Arial" w:hAnsi="Arial" w:cs="Arial"/>
          <w:b/>
          <w:color w:val="FF0000"/>
          <w:sz w:val="24"/>
          <w:szCs w:val="24"/>
        </w:rPr>
      </w:pPr>
      <w:r>
        <w:rPr>
          <w:rFonts w:ascii="Arial" w:hAnsi="Arial" w:cs="Arial"/>
          <w:b/>
          <w:bCs/>
          <w:color w:val="000000"/>
          <w:sz w:val="24"/>
          <w:szCs w:val="24"/>
        </w:rPr>
        <w:tab/>
      </w:r>
      <w:r>
        <w:rPr>
          <w:rFonts w:ascii="Arial" w:hAnsi="Arial" w:cs="Arial"/>
          <w:b/>
          <w:bCs/>
          <w:color w:val="000000"/>
          <w:sz w:val="24"/>
          <w:szCs w:val="24"/>
        </w:rPr>
        <w:tab/>
      </w:r>
      <w:r w:rsidRPr="00D8538F">
        <w:rPr>
          <w:rFonts w:ascii="Arial" w:hAnsi="Arial" w:cs="Arial"/>
          <w:b/>
          <w:color w:val="FF0000"/>
          <w:sz w:val="24"/>
          <w:szCs w:val="24"/>
        </w:rPr>
        <w:t>07/21/2020</w:t>
      </w:r>
    </w:p>
    <w:p w14:paraId="6D1E3B57" w14:textId="77777777" w:rsidR="00D8538F" w:rsidRDefault="00D8538F" w:rsidP="00D8538F">
      <w:pPr>
        <w:jc w:val="center"/>
        <w:rPr>
          <w:rFonts w:ascii="Arial" w:hAnsi="Arial" w:cs="Arial"/>
          <w:b/>
          <w:bCs/>
          <w:color w:val="000000"/>
          <w:sz w:val="24"/>
          <w:szCs w:val="24"/>
        </w:rPr>
      </w:pPr>
    </w:p>
    <w:p w14:paraId="361747D9" w14:textId="2EBEE9DB" w:rsidR="00D8538F" w:rsidRPr="00F215C1" w:rsidRDefault="00D8538F" w:rsidP="00D8538F">
      <w:pPr>
        <w:jc w:val="center"/>
        <w:rPr>
          <w:rFonts w:ascii="Arial" w:hAnsi="Arial" w:cs="Arial"/>
          <w:b/>
          <w:bCs/>
          <w:color w:val="000000"/>
        </w:rPr>
      </w:pPr>
      <w:r w:rsidRPr="00F215C1">
        <w:rPr>
          <w:rFonts w:ascii="Arial" w:hAnsi="Arial" w:cs="Arial"/>
          <w:b/>
          <w:bCs/>
          <w:color w:val="000000"/>
        </w:rPr>
        <w:t>GOLD ROARS TO NEAR NINE</w:t>
      </w:r>
      <w:r w:rsidRPr="00F215C1">
        <w:rPr>
          <w:rFonts w:ascii="Arial" w:hAnsi="Arial" w:cs="Arial"/>
          <w:b/>
          <w:bCs/>
          <w:color w:val="000000"/>
        </w:rPr>
        <w:t>-</w:t>
      </w:r>
      <w:r w:rsidRPr="00F215C1">
        <w:rPr>
          <w:rFonts w:ascii="Arial" w:hAnsi="Arial" w:cs="Arial"/>
          <w:b/>
          <w:bCs/>
          <w:color w:val="000000"/>
        </w:rPr>
        <w:t xml:space="preserve">YEAR HIGH, SILVER TO BEST LEVELS SINCE 2014. </w:t>
      </w:r>
    </w:p>
    <w:p w14:paraId="32D5AB19" w14:textId="4A11AAA9" w:rsidR="002F1909" w:rsidRPr="00F215C1" w:rsidRDefault="002F1909" w:rsidP="002F1909">
      <w:pPr>
        <w:jc w:val="center"/>
        <w:rPr>
          <w:rFonts w:ascii="Arial" w:hAnsi="Arial" w:cs="Arial"/>
          <w:b/>
          <w:bCs/>
          <w:color w:val="000000"/>
        </w:rPr>
      </w:pPr>
      <w:r w:rsidRPr="00F215C1">
        <w:rPr>
          <w:rFonts w:ascii="Arial" w:hAnsi="Arial" w:cs="Arial"/>
          <w:b/>
          <w:bCs/>
          <w:color w:val="000000"/>
        </w:rPr>
        <w:t>EU RESCUE PLAN TOTALS $2.1 TRILLION. U.S. PLAN IS NEXT.</w:t>
      </w:r>
    </w:p>
    <w:p w14:paraId="69B3D22E" w14:textId="04B8EE6E" w:rsidR="00D8538F" w:rsidRPr="00F215C1" w:rsidRDefault="00D8538F" w:rsidP="00D8538F">
      <w:pPr>
        <w:jc w:val="center"/>
        <w:rPr>
          <w:rFonts w:ascii="Arial" w:hAnsi="Arial" w:cs="Arial"/>
          <w:b/>
          <w:bCs/>
          <w:color w:val="000000"/>
        </w:rPr>
      </w:pPr>
      <w:r w:rsidRPr="00F215C1">
        <w:rPr>
          <w:rFonts w:ascii="Arial" w:hAnsi="Arial" w:cs="Arial"/>
          <w:b/>
          <w:bCs/>
          <w:color w:val="000000"/>
        </w:rPr>
        <w:t xml:space="preserve">EURO EXTENDS GAINS. STOCKS ADVANCE ACROSS THE BOARD. </w:t>
      </w:r>
    </w:p>
    <w:p w14:paraId="53060E2B" w14:textId="7058998A" w:rsidR="00D8538F" w:rsidRPr="00F215C1" w:rsidRDefault="00D8538F" w:rsidP="00D8538F">
      <w:pPr>
        <w:jc w:val="center"/>
        <w:rPr>
          <w:rFonts w:ascii="Arial" w:hAnsi="Arial" w:cs="Arial"/>
          <w:b/>
          <w:bCs/>
          <w:color w:val="000000"/>
        </w:rPr>
      </w:pPr>
      <w:r w:rsidRPr="00F215C1">
        <w:rPr>
          <w:rFonts w:ascii="Arial" w:hAnsi="Arial" w:cs="Arial"/>
          <w:b/>
          <w:bCs/>
          <w:color w:val="000000"/>
        </w:rPr>
        <w:t>T</w:t>
      </w:r>
      <w:r w:rsidRPr="00F215C1">
        <w:rPr>
          <w:rFonts w:ascii="Arial" w:hAnsi="Arial" w:cs="Arial"/>
          <w:b/>
          <w:bCs/>
          <w:color w:val="000000"/>
        </w:rPr>
        <w:t xml:space="preserve">ECH LOOKING GOOD. </w:t>
      </w:r>
    </w:p>
    <w:p w14:paraId="503A2C12" w14:textId="77777777" w:rsidR="00D8538F" w:rsidRDefault="00D8538F" w:rsidP="00D8538F">
      <w:pPr>
        <w:rPr>
          <w:rFonts w:ascii="Arial" w:hAnsi="Arial" w:cs="Arial"/>
          <w:color w:val="000000"/>
          <w:sz w:val="20"/>
          <w:szCs w:val="20"/>
        </w:rPr>
      </w:pPr>
    </w:p>
    <w:p w14:paraId="62B982C2" w14:textId="428A1F56" w:rsidR="00D8538F" w:rsidRPr="00F215C1" w:rsidRDefault="00D8538F" w:rsidP="00D8538F">
      <w:pPr>
        <w:ind w:right="-720"/>
        <w:jc w:val="both"/>
        <w:rPr>
          <w:rFonts w:ascii="Arial" w:hAnsi="Arial" w:cs="Arial"/>
          <w:color w:val="000000"/>
        </w:rPr>
      </w:pPr>
      <w:r w:rsidRPr="00F215C1">
        <w:rPr>
          <w:rFonts w:ascii="Arial" w:hAnsi="Arial" w:cs="Arial"/>
          <w:color w:val="000000"/>
        </w:rPr>
        <w:t>   </w:t>
      </w:r>
      <w:r w:rsidRPr="00F215C1">
        <w:rPr>
          <w:rFonts w:ascii="Arial" w:hAnsi="Arial" w:cs="Arial"/>
          <w:b/>
          <w:bCs/>
          <w:color w:val="0000FF"/>
          <w:u w:val="single"/>
        </w:rPr>
        <w:t>Metals:</w:t>
      </w:r>
      <w:r w:rsidRPr="00F215C1">
        <w:rPr>
          <w:rFonts w:ascii="Arial" w:hAnsi="Arial" w:cs="Arial"/>
          <w:color w:val="000000"/>
        </w:rPr>
        <w:t xml:space="preserve"> </w:t>
      </w:r>
      <w:r w:rsidRPr="00F215C1">
        <w:rPr>
          <w:rFonts w:ascii="Arial" w:hAnsi="Arial" w:cs="Arial"/>
          <w:color w:val="000000"/>
        </w:rPr>
        <w:t xml:space="preserve">It was a big day for precious metals as gold, silver and PGM's all achieved solid gains after </w:t>
      </w:r>
      <w:r w:rsidRPr="00F215C1">
        <w:rPr>
          <w:rFonts w:ascii="Arial" w:hAnsi="Arial" w:cs="Arial"/>
          <w:b/>
          <w:bCs/>
          <w:color w:val="000000"/>
        </w:rPr>
        <w:t xml:space="preserve">the EU agreed on a rescue plan of $2.1 trillion and a Coronavirus relief plan. </w:t>
      </w:r>
      <w:r w:rsidRPr="00F215C1">
        <w:rPr>
          <w:rFonts w:ascii="Arial" w:hAnsi="Arial" w:cs="Arial"/>
          <w:color w:val="000000"/>
        </w:rPr>
        <w:t>The EU ended four days of difficult negotiation with a strong result. A U</w:t>
      </w:r>
      <w:r w:rsidRPr="00F215C1">
        <w:rPr>
          <w:rFonts w:ascii="Arial" w:hAnsi="Arial" w:cs="Arial"/>
          <w:color w:val="000000"/>
        </w:rPr>
        <w:t>.</w:t>
      </w:r>
      <w:r w:rsidRPr="00F215C1">
        <w:rPr>
          <w:rFonts w:ascii="Arial" w:hAnsi="Arial" w:cs="Arial"/>
          <w:color w:val="000000"/>
        </w:rPr>
        <w:t>S</w:t>
      </w:r>
      <w:r w:rsidRPr="00F215C1">
        <w:rPr>
          <w:rFonts w:ascii="Arial" w:hAnsi="Arial" w:cs="Arial"/>
          <w:color w:val="000000"/>
        </w:rPr>
        <w:t>.</w:t>
      </w:r>
      <w:r w:rsidRPr="00F215C1">
        <w:rPr>
          <w:rFonts w:ascii="Arial" w:hAnsi="Arial" w:cs="Arial"/>
          <w:color w:val="000000"/>
        </w:rPr>
        <w:t xml:space="preserve"> stimulus package is also in the works and we suspect and agreement might be achieved by early August. </w:t>
      </w:r>
      <w:r w:rsidRPr="00F215C1">
        <w:rPr>
          <w:rFonts w:ascii="Arial" w:hAnsi="Arial" w:cs="Arial"/>
          <w:b/>
          <w:bCs/>
          <w:color w:val="000000"/>
        </w:rPr>
        <w:t>Gold had been holding in a range over $1,800 and then exploded through that area with a $26.50 advance to $1,834.90.  </w:t>
      </w:r>
      <w:r w:rsidRPr="00F215C1">
        <w:rPr>
          <w:rFonts w:ascii="Arial" w:hAnsi="Arial" w:cs="Arial"/>
          <w:color w:val="000000"/>
        </w:rPr>
        <w:t xml:space="preserve">The market was solid all session and leaves us holding longs with a $1,900 objective. A weaker US Dollar also contributed to the rally. September silver also had a good day as surged to its best levels since July 2014, gaining $1.37 to $21.55. We are only officially hold long gold positions but retain our bullish outlook for silver which is on a surge. </w:t>
      </w:r>
      <w:r w:rsidRPr="00F215C1">
        <w:rPr>
          <w:rFonts w:ascii="Arial" w:hAnsi="Arial" w:cs="Arial"/>
          <w:b/>
          <w:bCs/>
          <w:color w:val="000000"/>
        </w:rPr>
        <w:t xml:space="preserve">PGM's were not left out </w:t>
      </w:r>
      <w:r w:rsidRPr="00F215C1">
        <w:rPr>
          <w:rFonts w:ascii="Arial" w:hAnsi="Arial" w:cs="Arial"/>
          <w:color w:val="000000"/>
        </w:rPr>
        <w:t>with October platinum and September palladium gaining ground. Our view is to hold long palladium while we are standing aside platinum but that also looks headed higher. Goldman upped its forecast for gold to $2,000 today. Market should work higher through September. </w:t>
      </w:r>
    </w:p>
    <w:p w14:paraId="47E1052D" w14:textId="4C3DBB78" w:rsidR="00F215C1" w:rsidRPr="00F215C1" w:rsidRDefault="00F215C1" w:rsidP="00D8538F">
      <w:pPr>
        <w:ind w:right="-720"/>
        <w:jc w:val="both"/>
        <w:rPr>
          <w:rFonts w:ascii="Arial" w:hAnsi="Arial" w:cs="Arial"/>
          <w:color w:val="FF0000"/>
          <w:sz w:val="24"/>
          <w:szCs w:val="24"/>
        </w:rPr>
      </w:pPr>
      <w:r w:rsidRPr="00F215C1">
        <w:rPr>
          <w:rFonts w:ascii="Arial" w:hAnsi="Arial" w:cs="Arial"/>
          <w:color w:val="FF0000"/>
        </w:rPr>
        <w:t>August 2020 Gold Futures</w:t>
      </w:r>
      <w:r w:rsidRPr="00F215C1">
        <w:rPr>
          <w:rFonts w:ascii="Arial" w:hAnsi="Arial" w:cs="Arial"/>
          <w:color w:val="FF0000"/>
          <w:sz w:val="24"/>
          <w:szCs w:val="24"/>
        </w:rPr>
        <w:t xml:space="preserve"> </w:t>
      </w:r>
    </w:p>
    <w:p w14:paraId="5014F437" w14:textId="609AC7E1" w:rsidR="005B3B34" w:rsidRDefault="00F215C1" w:rsidP="00D8538F">
      <w:pPr>
        <w:ind w:right="-720"/>
        <w:jc w:val="both"/>
        <w:rPr>
          <w:rFonts w:ascii="Arial" w:hAnsi="Arial" w:cs="Arial"/>
          <w:color w:val="000000"/>
          <w:sz w:val="24"/>
          <w:szCs w:val="24"/>
        </w:rPr>
      </w:pPr>
      <w:r>
        <w:rPr>
          <w:noProof/>
        </w:rPr>
        <w:drawing>
          <wp:inline distT="0" distB="0" distL="0" distR="0" wp14:anchorId="371F96DD" wp14:editId="133EE17B">
            <wp:extent cx="6400800" cy="146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466850"/>
                    </a:xfrm>
                    <a:prstGeom prst="rect">
                      <a:avLst/>
                    </a:prstGeom>
                    <a:noFill/>
                    <a:ln>
                      <a:noFill/>
                    </a:ln>
                  </pic:spPr>
                </pic:pic>
              </a:graphicData>
            </a:graphic>
          </wp:inline>
        </w:drawing>
      </w:r>
    </w:p>
    <w:p w14:paraId="770B2224" w14:textId="653BBEBF" w:rsidR="005B3B34" w:rsidRPr="00A77C75" w:rsidRDefault="00A77C75" w:rsidP="00D8538F">
      <w:pPr>
        <w:ind w:right="-720"/>
        <w:jc w:val="both"/>
        <w:rPr>
          <w:rFonts w:ascii="Arial" w:hAnsi="Arial" w:cs="Arial"/>
          <w:color w:val="FF0000"/>
          <w:sz w:val="24"/>
          <w:szCs w:val="24"/>
        </w:rPr>
      </w:pPr>
      <w:r w:rsidRPr="00A77C75">
        <w:rPr>
          <w:rFonts w:ascii="Arial" w:hAnsi="Arial" w:cs="Arial"/>
          <w:color w:val="FF0000"/>
          <w:sz w:val="24"/>
          <w:szCs w:val="24"/>
        </w:rPr>
        <w:t>September 2020 Silver Futures</w:t>
      </w:r>
    </w:p>
    <w:p w14:paraId="556BF6A3" w14:textId="0AB40AA4" w:rsidR="00F215C1" w:rsidRPr="00D8538F" w:rsidRDefault="00F215C1" w:rsidP="00D8538F">
      <w:pPr>
        <w:ind w:right="-720"/>
        <w:jc w:val="both"/>
        <w:rPr>
          <w:rFonts w:ascii="Arial" w:hAnsi="Arial" w:cs="Arial"/>
          <w:color w:val="000000"/>
          <w:sz w:val="24"/>
          <w:szCs w:val="24"/>
        </w:rPr>
      </w:pPr>
      <w:r>
        <w:rPr>
          <w:noProof/>
        </w:rPr>
        <w:drawing>
          <wp:inline distT="0" distB="0" distL="0" distR="0" wp14:anchorId="503883C0" wp14:editId="151C8D4C">
            <wp:extent cx="64008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1600200"/>
                    </a:xfrm>
                    <a:prstGeom prst="rect">
                      <a:avLst/>
                    </a:prstGeom>
                    <a:noFill/>
                    <a:ln>
                      <a:noFill/>
                    </a:ln>
                  </pic:spPr>
                </pic:pic>
              </a:graphicData>
            </a:graphic>
          </wp:inline>
        </w:drawing>
      </w:r>
    </w:p>
    <w:p w14:paraId="60DF14F8" w14:textId="38B8706B" w:rsidR="00F215C1" w:rsidRDefault="00D8538F" w:rsidP="00D8538F">
      <w:pPr>
        <w:ind w:right="-720"/>
        <w:jc w:val="both"/>
        <w:rPr>
          <w:rFonts w:ascii="Arial" w:hAnsi="Arial" w:cs="Arial"/>
          <w:color w:val="000000"/>
          <w:sz w:val="24"/>
          <w:szCs w:val="24"/>
        </w:rPr>
      </w:pPr>
      <w:r w:rsidRPr="00D8538F">
        <w:rPr>
          <w:rFonts w:ascii="Arial" w:hAnsi="Arial" w:cs="Arial"/>
          <w:color w:val="000000"/>
          <w:sz w:val="24"/>
          <w:szCs w:val="24"/>
        </w:rPr>
        <w:t xml:space="preserve">  </w:t>
      </w:r>
    </w:p>
    <w:p w14:paraId="01DA2C9D" w14:textId="0F62A47A" w:rsidR="00D8538F" w:rsidRPr="00D8538F" w:rsidRDefault="00D8538F" w:rsidP="00D8538F">
      <w:pPr>
        <w:ind w:right="-720"/>
        <w:jc w:val="both"/>
        <w:rPr>
          <w:rFonts w:ascii="Arial" w:hAnsi="Arial" w:cs="Arial"/>
          <w:color w:val="000000"/>
          <w:sz w:val="24"/>
          <w:szCs w:val="24"/>
        </w:rPr>
      </w:pPr>
      <w:r w:rsidRPr="00D8538F">
        <w:rPr>
          <w:rFonts w:ascii="Arial" w:hAnsi="Arial" w:cs="Arial"/>
          <w:b/>
          <w:bCs/>
          <w:i/>
          <w:iCs/>
          <w:color w:val="0000FF"/>
          <w:sz w:val="24"/>
          <w:szCs w:val="24"/>
          <w:u w:val="single"/>
        </w:rPr>
        <w:t>Currencies:</w:t>
      </w:r>
      <w:r>
        <w:rPr>
          <w:rFonts w:ascii="Arial" w:hAnsi="Arial" w:cs="Arial"/>
          <w:color w:val="000000"/>
          <w:sz w:val="24"/>
          <w:szCs w:val="24"/>
        </w:rPr>
        <w:t xml:space="preserve"> </w:t>
      </w:r>
      <w:r w:rsidRPr="00D8538F">
        <w:rPr>
          <w:rFonts w:ascii="Arial" w:hAnsi="Arial" w:cs="Arial"/>
          <w:color w:val="000000"/>
          <w:sz w:val="24"/>
          <w:szCs w:val="24"/>
        </w:rPr>
        <w:t xml:space="preserve">Our bullish view for the Euro is playing out as the currency responded to the above EU agreement. In late action the </w:t>
      </w:r>
      <w:r w:rsidRPr="00D8538F">
        <w:rPr>
          <w:rFonts w:ascii="Arial" w:hAnsi="Arial" w:cs="Arial"/>
          <w:b/>
          <w:bCs/>
          <w:color w:val="000000"/>
          <w:sz w:val="24"/>
          <w:szCs w:val="24"/>
        </w:rPr>
        <w:t>Euro was up 60 cents to $1.1508</w:t>
      </w:r>
      <w:r w:rsidRPr="00D8538F">
        <w:rPr>
          <w:rFonts w:ascii="Arial" w:hAnsi="Arial" w:cs="Arial"/>
          <w:color w:val="000000"/>
          <w:sz w:val="24"/>
          <w:szCs w:val="24"/>
        </w:rPr>
        <w:t> with dealer buying active. Further gains are likely for the currency and technical indicators have broken out to the upside. Pound Sterling is following with a 77</w:t>
      </w:r>
      <w:r>
        <w:rPr>
          <w:rFonts w:ascii="Arial" w:hAnsi="Arial" w:cs="Arial"/>
          <w:color w:val="000000"/>
          <w:sz w:val="24"/>
          <w:szCs w:val="24"/>
        </w:rPr>
        <w:t>-</w:t>
      </w:r>
      <w:r w:rsidRPr="00D8538F">
        <w:rPr>
          <w:rFonts w:ascii="Arial" w:hAnsi="Arial" w:cs="Arial"/>
          <w:color w:val="000000"/>
          <w:sz w:val="24"/>
          <w:szCs w:val="24"/>
        </w:rPr>
        <w:t xml:space="preserve">cent gain to $1.2737. We see the Pound beginning to reflect some improvement in the UK Coronavirus crisis and expect it to also work higher. The Japanese Yen was down 47 to 106.80 as its role as a protective currency was reduced. However, don't look for too much downside for this narrow range vehicle. </w:t>
      </w:r>
      <w:r w:rsidRPr="00D8538F">
        <w:rPr>
          <w:rFonts w:ascii="Arial" w:hAnsi="Arial" w:cs="Arial"/>
          <w:b/>
          <w:bCs/>
          <w:color w:val="000000"/>
          <w:sz w:val="24"/>
          <w:szCs w:val="24"/>
        </w:rPr>
        <w:t>The Australian dollar jumped 96 cents to 71.12 and our 72</w:t>
      </w:r>
      <w:r>
        <w:rPr>
          <w:rFonts w:ascii="Arial" w:hAnsi="Arial" w:cs="Arial"/>
          <w:b/>
          <w:bCs/>
          <w:color w:val="000000"/>
          <w:sz w:val="24"/>
          <w:szCs w:val="24"/>
        </w:rPr>
        <w:t>-</w:t>
      </w:r>
      <w:r w:rsidRPr="00D8538F">
        <w:rPr>
          <w:rFonts w:ascii="Arial" w:hAnsi="Arial" w:cs="Arial"/>
          <w:b/>
          <w:bCs/>
          <w:color w:val="000000"/>
          <w:sz w:val="24"/>
          <w:szCs w:val="24"/>
        </w:rPr>
        <w:t xml:space="preserve">cent target is on track. </w:t>
      </w:r>
      <w:r w:rsidRPr="00D8538F">
        <w:rPr>
          <w:rFonts w:ascii="Arial" w:hAnsi="Arial" w:cs="Arial"/>
          <w:color w:val="000000"/>
          <w:sz w:val="24"/>
          <w:szCs w:val="24"/>
        </w:rPr>
        <w:t xml:space="preserve">Australia is doing better than most in the virus fight. Perhaps as high as 74 cents might be in order here. </w:t>
      </w:r>
      <w:r w:rsidRPr="00D8538F">
        <w:rPr>
          <w:rFonts w:ascii="Arial" w:hAnsi="Arial" w:cs="Arial"/>
          <w:b/>
          <w:bCs/>
          <w:color w:val="000000"/>
          <w:sz w:val="24"/>
          <w:szCs w:val="24"/>
        </w:rPr>
        <w:t>The US Dollar Index fell 0.62 to 95.12 and is in a clear downtrend.</w:t>
      </w:r>
    </w:p>
    <w:p w14:paraId="5F625D50" w14:textId="77777777" w:rsidR="00A77C75" w:rsidRDefault="00F215C1" w:rsidP="00D8538F">
      <w:pPr>
        <w:ind w:right="-720"/>
        <w:jc w:val="both"/>
        <w:rPr>
          <w:rFonts w:ascii="Arial" w:hAnsi="Arial" w:cs="Arial"/>
          <w:b/>
          <w:bCs/>
          <w:color w:val="000000"/>
          <w:sz w:val="24"/>
          <w:szCs w:val="24"/>
        </w:rPr>
      </w:pPr>
      <w:r>
        <w:rPr>
          <w:rFonts w:ascii="Arial Narrow" w:hAnsi="Arial Narrow"/>
          <w:b/>
          <w:noProof/>
          <w:color w:val="002060"/>
          <w:sz w:val="20"/>
          <w:szCs w:val="20"/>
        </w:rPr>
        <w:lastRenderedPageBreak/>
        <mc:AlternateContent>
          <mc:Choice Requires="wps">
            <w:drawing>
              <wp:anchor distT="0" distB="0" distL="114300" distR="114300" simplePos="0" relativeHeight="251661312" behindDoc="0" locked="0" layoutInCell="1" allowOverlap="1" wp14:anchorId="55B1AADB" wp14:editId="4C4122E6">
                <wp:simplePos x="0" y="0"/>
                <wp:positionH relativeFrom="column">
                  <wp:posOffset>7038975</wp:posOffset>
                </wp:positionH>
                <wp:positionV relativeFrom="paragraph">
                  <wp:posOffset>-3175</wp:posOffset>
                </wp:positionV>
                <wp:extent cx="256540" cy="14432915"/>
                <wp:effectExtent l="0" t="0" r="10160"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432915"/>
                        </a:xfrm>
                        <a:prstGeom prst="rect">
                          <a:avLst/>
                        </a:prstGeom>
                        <a:solidFill>
                          <a:srgbClr val="DDDDDD"/>
                        </a:solidFill>
                        <a:ln w="9525">
                          <a:solidFill>
                            <a:srgbClr val="000000"/>
                          </a:solidFill>
                          <a:miter lim="800000"/>
                          <a:headEnd/>
                          <a:tailEnd/>
                        </a:ln>
                      </wps:spPr>
                      <wps:txbx>
                        <w:txbxContent>
                          <w:p w14:paraId="2A786808" w14:textId="77777777" w:rsidR="00D8538F" w:rsidRDefault="00D8538F" w:rsidP="00D8538F">
                            <w:pPr>
                              <w:ind w:right="-31" w:firstLine="0"/>
                              <w:jc w:val="center"/>
                            </w:pPr>
                            <w:r w:rsidRPr="00427360">
                              <w:rPr>
                                <w:b/>
                                <w:color w:val="000080"/>
                              </w:rPr>
                              <w:t>LOGIC ADVISORS LOGIC ADVISORS LOGIC ADVISORS LOGIC ADVISORS LOGIC</w:t>
                            </w:r>
                            <w:r>
                              <w:t xml:space="preserve"> ADVISORS LOGIC ADVISORS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1AADB" id="_x0000_s1028" type="#_x0000_t202" style="position:absolute;left:0;text-align:left;margin-left:554.25pt;margin-top:-.25pt;width:20.2pt;height:11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" fillcolor="#ddd">
                <v:textbox>
                  <w:txbxContent>
                    <w:p w14:paraId="2A786808" w14:textId="77777777" w:rsidR="00D8538F" w:rsidRDefault="00D8538F" w:rsidP="00D8538F">
                      <w:pPr>
                        <w:ind w:right="-31" w:firstLine="0"/>
                        <w:jc w:val="center"/>
                      </w:pPr>
                      <w:r w:rsidRPr="00427360">
                        <w:rPr>
                          <w:b/>
                          <w:color w:val="000080"/>
                        </w:rPr>
                        <w:t>LOGIC ADVISORS LOGIC ADVISORS LOGIC ADVISORS LOGIC ADVISORS LOGIC</w:t>
                      </w:r>
                      <w:r>
                        <w:t xml:space="preserve"> ADVISORS LOGIC ADVISORS</w:t>
                      </w:r>
                    </w:p>
                  </w:txbxContent>
                </v:textbox>
              </v:shape>
            </w:pict>
          </mc:Fallback>
        </mc:AlternateContent>
      </w:r>
      <w:r w:rsidR="00D8538F" w:rsidRPr="00D8538F">
        <w:rPr>
          <w:rFonts w:ascii="Arial" w:hAnsi="Arial" w:cs="Arial"/>
          <w:b/>
          <w:bCs/>
          <w:color w:val="000000"/>
          <w:sz w:val="24"/>
          <w:szCs w:val="24"/>
        </w:rPr>
        <w:t xml:space="preserve">  </w:t>
      </w:r>
    </w:p>
    <w:p w14:paraId="29EE383C" w14:textId="03654706" w:rsidR="00D8538F" w:rsidRPr="00A77C75" w:rsidRDefault="00D8538F" w:rsidP="00D8538F">
      <w:pPr>
        <w:ind w:right="-720"/>
        <w:jc w:val="both"/>
        <w:rPr>
          <w:rFonts w:ascii="Arial" w:hAnsi="Arial" w:cs="Arial"/>
          <w:color w:val="000000"/>
        </w:rPr>
      </w:pPr>
      <w:r w:rsidRPr="00A77C75">
        <w:rPr>
          <w:rFonts w:ascii="Arial" w:hAnsi="Arial" w:cs="Arial"/>
          <w:b/>
          <w:bCs/>
          <w:i/>
          <w:iCs/>
          <w:color w:val="0000FF"/>
          <w:u w:val="single"/>
        </w:rPr>
        <w:t>Global Equities:</w:t>
      </w:r>
      <w:r w:rsidRPr="00A77C75">
        <w:rPr>
          <w:rFonts w:ascii="Arial" w:hAnsi="Arial" w:cs="Arial"/>
          <w:b/>
          <w:bCs/>
          <w:color w:val="0000FF"/>
        </w:rPr>
        <w:t xml:space="preserve"> </w:t>
      </w:r>
      <w:r w:rsidRPr="00A77C75">
        <w:rPr>
          <w:rFonts w:ascii="Arial" w:hAnsi="Arial" w:cs="Arial"/>
          <w:b/>
          <w:bCs/>
          <w:color w:val="000000"/>
        </w:rPr>
        <w:t xml:space="preserve">European stocks had a good day with the broad Stoxx 600 rising 1.19 to 376.70. </w:t>
      </w:r>
      <w:r w:rsidRPr="00A77C75">
        <w:rPr>
          <w:rFonts w:ascii="Arial" w:hAnsi="Arial" w:cs="Arial"/>
          <w:color w:val="000000"/>
        </w:rPr>
        <w:t>The EU agreement on a rescue plan was the leading driver of the rally. France's CAC rose 11 to 5,104, Greece was 17 higher at 7,495 and the UK's FTSE advanced 8 to 6,270. We retain advice for longs in the European sector with Germany the most favored. </w:t>
      </w:r>
    </w:p>
    <w:p w14:paraId="32F02E4A" w14:textId="7A87B0B0" w:rsidR="00D8538F" w:rsidRPr="00A77C75" w:rsidRDefault="00D8538F" w:rsidP="00D8538F">
      <w:pPr>
        <w:ind w:right="-720"/>
        <w:jc w:val="both"/>
        <w:rPr>
          <w:rFonts w:ascii="Arial" w:hAnsi="Arial" w:cs="Arial"/>
          <w:color w:val="000000"/>
        </w:rPr>
      </w:pPr>
      <w:r w:rsidRPr="00A77C75">
        <w:rPr>
          <w:rFonts w:ascii="Arial" w:hAnsi="Arial" w:cs="Arial"/>
          <w:color w:val="000000"/>
        </w:rPr>
        <w:t>   </w:t>
      </w:r>
      <w:r w:rsidRPr="00A77C75">
        <w:rPr>
          <w:rFonts w:ascii="Arial" w:hAnsi="Arial" w:cs="Arial"/>
          <w:b/>
          <w:bCs/>
          <w:color w:val="000000"/>
        </w:rPr>
        <w:t>Asian stocks were big winners today including 578</w:t>
      </w:r>
      <w:r w:rsidRPr="00A77C75">
        <w:rPr>
          <w:rFonts w:ascii="Arial" w:hAnsi="Arial" w:cs="Arial"/>
          <w:b/>
          <w:bCs/>
          <w:color w:val="000000"/>
        </w:rPr>
        <w:t>-</w:t>
      </w:r>
      <w:r w:rsidRPr="00A77C75">
        <w:rPr>
          <w:rFonts w:ascii="Arial" w:hAnsi="Arial" w:cs="Arial"/>
          <w:b/>
          <w:bCs/>
          <w:color w:val="000000"/>
        </w:rPr>
        <w:t xml:space="preserve">point gain to 25,639 for Hong Kong. </w:t>
      </w:r>
      <w:r w:rsidRPr="00A77C75">
        <w:rPr>
          <w:rFonts w:ascii="Arial" w:hAnsi="Arial" w:cs="Arial"/>
          <w:color w:val="000000"/>
        </w:rPr>
        <w:t>The Chinese government has been supporting this index and it has responded with a strong rally. Further gains seem probable. Korea's Kospi has also been on a roll as it advanced 31 to 2,239. This index has roared back from a 1,439 low and also seems to have further potential. Shanghai advanced 7 to 3,321 and Singapore was up 13 to 2,629. Overall, Asia has an upside bias.</w:t>
      </w:r>
    </w:p>
    <w:p w14:paraId="0A1214BA" w14:textId="77777777" w:rsidR="00A77C75" w:rsidRPr="00A77C75" w:rsidRDefault="00D8538F" w:rsidP="00D8538F">
      <w:pPr>
        <w:ind w:right="-720"/>
        <w:jc w:val="both"/>
        <w:rPr>
          <w:rFonts w:ascii="Arial" w:hAnsi="Arial" w:cs="Arial"/>
          <w:color w:val="000000"/>
        </w:rPr>
      </w:pPr>
      <w:r w:rsidRPr="00A77C75">
        <w:rPr>
          <w:rFonts w:ascii="Arial" w:hAnsi="Arial" w:cs="Arial"/>
          <w:color w:val="000000"/>
        </w:rPr>
        <w:t>   </w:t>
      </w:r>
      <w:r w:rsidRPr="00A77C75">
        <w:rPr>
          <w:rFonts w:ascii="Arial" w:hAnsi="Arial" w:cs="Arial"/>
          <w:b/>
          <w:bCs/>
          <w:color w:val="000000"/>
        </w:rPr>
        <w:t>U</w:t>
      </w:r>
      <w:r w:rsidR="008A2911" w:rsidRPr="00A77C75">
        <w:rPr>
          <w:rFonts w:ascii="Arial" w:hAnsi="Arial" w:cs="Arial"/>
          <w:b/>
          <w:bCs/>
          <w:color w:val="000000"/>
        </w:rPr>
        <w:t>.</w:t>
      </w:r>
      <w:r w:rsidRPr="00A77C75">
        <w:rPr>
          <w:rFonts w:ascii="Arial" w:hAnsi="Arial" w:cs="Arial"/>
          <w:b/>
          <w:bCs/>
          <w:color w:val="000000"/>
        </w:rPr>
        <w:t>S</w:t>
      </w:r>
      <w:r w:rsidR="008A2911" w:rsidRPr="00A77C75">
        <w:rPr>
          <w:rFonts w:ascii="Arial" w:hAnsi="Arial" w:cs="Arial"/>
          <w:b/>
          <w:bCs/>
          <w:color w:val="000000"/>
        </w:rPr>
        <w:t>.</w:t>
      </w:r>
      <w:r w:rsidRPr="00A77C75">
        <w:rPr>
          <w:rFonts w:ascii="Arial" w:hAnsi="Arial" w:cs="Arial"/>
          <w:b/>
          <w:bCs/>
          <w:color w:val="000000"/>
        </w:rPr>
        <w:t xml:space="preserve"> stocks scored gains</w:t>
      </w:r>
      <w:r w:rsidRPr="00A77C75">
        <w:rPr>
          <w:rFonts w:ascii="Arial" w:hAnsi="Arial" w:cs="Arial"/>
          <w:color w:val="000000"/>
        </w:rPr>
        <w:t xml:space="preserve"> with the Dow rising 160 to 26,841. The first half of the session saw the greatest strength and second half was kind of mixed but all things considered prices held reasonably well. </w:t>
      </w:r>
      <w:r w:rsidRPr="00A77C75">
        <w:rPr>
          <w:rFonts w:ascii="Arial" w:hAnsi="Arial" w:cs="Arial"/>
          <w:b/>
          <w:bCs/>
          <w:color w:val="000000"/>
        </w:rPr>
        <w:t>Nasdaq lost </w:t>
      </w:r>
      <w:r w:rsidRPr="00A77C75">
        <w:rPr>
          <w:rFonts w:ascii="Arial" w:hAnsi="Arial" w:cs="Arial"/>
          <w:color w:val="000000"/>
        </w:rPr>
        <w:t xml:space="preserve">and the S&amp;P rose 5 to 3,257. Not exactly a roaring day but the European agreement lent support and sets thing up well. The SP close was the highest since Feb 21 so we are moving in the right direction. </w:t>
      </w:r>
      <w:r w:rsidRPr="00A77C75">
        <w:rPr>
          <w:rFonts w:ascii="Arial" w:hAnsi="Arial" w:cs="Arial"/>
          <w:b/>
          <w:bCs/>
          <w:color w:val="000000"/>
        </w:rPr>
        <w:t xml:space="preserve">Interestingly, options players are skewing in the right direction. </w:t>
      </w:r>
      <w:r w:rsidRPr="00A77C75">
        <w:rPr>
          <w:rFonts w:ascii="Arial" w:hAnsi="Arial" w:cs="Arial"/>
          <w:color w:val="000000"/>
        </w:rPr>
        <w:t xml:space="preserve">There is some optimism expressed by corporate leaders that the first quarter may well represent the bottom. Earning's reports have been decent including IBM yesterday and Texas Instruments this afternoon. </w:t>
      </w:r>
      <w:r w:rsidR="00A77C75" w:rsidRPr="00A77C75">
        <w:rPr>
          <w:rFonts w:ascii="Arial" w:hAnsi="Arial" w:cs="Arial"/>
          <w:color w:val="000000"/>
        </w:rPr>
        <w:t xml:space="preserve">   </w:t>
      </w:r>
    </w:p>
    <w:p w14:paraId="432CAB38" w14:textId="7B8DCD83" w:rsidR="00D8538F" w:rsidRPr="00A77C75" w:rsidRDefault="00D8538F" w:rsidP="00A77C75">
      <w:pPr>
        <w:ind w:right="-720" w:firstLine="0"/>
        <w:jc w:val="both"/>
        <w:rPr>
          <w:rFonts w:ascii="Arial" w:hAnsi="Arial" w:cs="Arial"/>
          <w:color w:val="000000"/>
        </w:rPr>
      </w:pPr>
      <w:r w:rsidRPr="00A77C75">
        <w:rPr>
          <w:rFonts w:ascii="Arial" w:hAnsi="Arial" w:cs="Arial"/>
          <w:color w:val="000000"/>
        </w:rPr>
        <w:t>Stay long U</w:t>
      </w:r>
      <w:r w:rsidR="00A77C75" w:rsidRPr="00A77C75">
        <w:rPr>
          <w:rFonts w:ascii="Arial" w:hAnsi="Arial" w:cs="Arial"/>
          <w:color w:val="000000"/>
        </w:rPr>
        <w:t>.</w:t>
      </w:r>
      <w:r w:rsidRPr="00A77C75">
        <w:rPr>
          <w:rFonts w:ascii="Arial" w:hAnsi="Arial" w:cs="Arial"/>
          <w:color w:val="000000"/>
        </w:rPr>
        <w:t>S</w:t>
      </w:r>
      <w:r w:rsidR="00A77C75" w:rsidRPr="00A77C75">
        <w:rPr>
          <w:rFonts w:ascii="Arial" w:hAnsi="Arial" w:cs="Arial"/>
          <w:color w:val="000000"/>
        </w:rPr>
        <w:t>.</w:t>
      </w:r>
      <w:r w:rsidRPr="00A77C75">
        <w:rPr>
          <w:rFonts w:ascii="Arial" w:hAnsi="Arial" w:cs="Arial"/>
          <w:color w:val="000000"/>
        </w:rPr>
        <w:t xml:space="preserve"> stocks.</w:t>
      </w:r>
    </w:p>
    <w:p w14:paraId="23B1511F" w14:textId="32A7EFC7" w:rsidR="00D8538F" w:rsidRPr="00A77C75" w:rsidRDefault="00D8538F" w:rsidP="00D8538F">
      <w:pPr>
        <w:ind w:right="-720"/>
        <w:jc w:val="both"/>
        <w:rPr>
          <w:rFonts w:ascii="Arial" w:hAnsi="Arial" w:cs="Arial"/>
          <w:color w:val="000000"/>
        </w:rPr>
      </w:pPr>
      <w:r w:rsidRPr="00A77C75">
        <w:rPr>
          <w:rFonts w:ascii="Arial" w:hAnsi="Arial" w:cs="Arial"/>
          <w:color w:val="000000"/>
        </w:rPr>
        <w:t>   </w:t>
      </w:r>
      <w:r w:rsidR="00A77C75" w:rsidRPr="00A77C75">
        <w:rPr>
          <w:rFonts w:ascii="Arial" w:hAnsi="Arial" w:cs="Arial"/>
          <w:b/>
          <w:bCs/>
          <w:i/>
          <w:iCs/>
          <w:color w:val="0000FF"/>
          <w:u w:val="single"/>
        </w:rPr>
        <w:t>Interest Rates:</w:t>
      </w:r>
      <w:r w:rsidR="00A77C75" w:rsidRPr="00A77C75">
        <w:rPr>
          <w:rFonts w:ascii="Arial" w:hAnsi="Arial" w:cs="Arial"/>
          <w:color w:val="0000FF"/>
        </w:rPr>
        <w:t xml:space="preserve"> </w:t>
      </w:r>
      <w:r w:rsidRPr="00A77C75">
        <w:rPr>
          <w:rFonts w:ascii="Arial" w:hAnsi="Arial" w:cs="Arial"/>
          <w:color w:val="000000"/>
        </w:rPr>
        <w:t xml:space="preserve"> European rates included the German 10-Year at minus 0.457% from minus 0.475% and Italy at 1.083% from 1.093%. Greece stood at 0.367% from 0.355% and the UK at 0.137% from 0.152%. Rates reflected the agreements on EU policy. Mike Pompeo was visiting the UK today to work on some agreement. The UK seems to be gradually recovering from the Coronavirus crisis but still has a long way to go. </w:t>
      </w:r>
    </w:p>
    <w:p w14:paraId="6481DA91" w14:textId="3E392E09" w:rsidR="00D8538F" w:rsidRPr="00A77C75" w:rsidRDefault="00D8538F" w:rsidP="00D8538F">
      <w:pPr>
        <w:ind w:right="-720"/>
        <w:jc w:val="both"/>
        <w:rPr>
          <w:rFonts w:ascii="Arial" w:hAnsi="Arial" w:cs="Arial"/>
          <w:color w:val="000000"/>
        </w:rPr>
      </w:pPr>
      <w:r w:rsidRPr="00A77C75">
        <w:rPr>
          <w:rFonts w:ascii="Arial" w:hAnsi="Arial" w:cs="Arial"/>
          <w:color w:val="000000"/>
        </w:rPr>
        <w:t> </w:t>
      </w:r>
      <w:r w:rsidRPr="00A77C75">
        <w:rPr>
          <w:rFonts w:ascii="Arial" w:hAnsi="Arial" w:cs="Arial"/>
          <w:b/>
          <w:bCs/>
          <w:color w:val="000000"/>
        </w:rPr>
        <w:t>Treasury yields were lower again today with the 10-Year note at 0.602% from 0.615%. The 2-Year note was at 0.143% and the 30-Year was at 1.306%. </w:t>
      </w:r>
      <w:r w:rsidRPr="00A77C75">
        <w:rPr>
          <w:rFonts w:ascii="Arial" w:hAnsi="Arial" w:cs="Arial"/>
          <w:color w:val="000000"/>
        </w:rPr>
        <w:t>Economic data was light with only the Chicago Fed National Activity Index at 4.11 from 3.50, a decent number but not really a market mover. Pressure was on all day and yields were lower as the Fed is expected to follow the EU with stimulus in the near term which is pressuring bond yields. The direction of bond yields is lower at present with government activity paying a major role. We have been saying yields were bottoming but recent evidence puts such a forecast in doubt. </w:t>
      </w:r>
    </w:p>
    <w:p w14:paraId="64AAD161" w14:textId="61231020" w:rsidR="00D8538F" w:rsidRPr="00A77C75" w:rsidRDefault="005B3B34" w:rsidP="00D8538F">
      <w:pPr>
        <w:ind w:right="-720"/>
        <w:jc w:val="both"/>
        <w:rPr>
          <w:rFonts w:ascii="Arial" w:hAnsi="Arial" w:cs="Arial"/>
          <w:color w:val="000000"/>
        </w:rPr>
      </w:pPr>
      <w:r w:rsidRPr="00A77C75">
        <w:rPr>
          <w:rFonts w:ascii="Arial" w:hAnsi="Arial" w:cs="Arial"/>
          <w:color w:val="000000"/>
        </w:rPr>
        <w:t xml:space="preserve"> </w:t>
      </w:r>
      <w:r w:rsidRPr="00A77C75">
        <w:rPr>
          <w:rFonts w:ascii="Arial" w:hAnsi="Arial" w:cs="Arial"/>
          <w:b/>
          <w:bCs/>
          <w:i/>
          <w:iCs/>
          <w:color w:val="0000FF"/>
          <w:u w:val="single"/>
        </w:rPr>
        <w:t>Energy:</w:t>
      </w:r>
      <w:r w:rsidRPr="00A77C75">
        <w:rPr>
          <w:rFonts w:ascii="Arial" w:hAnsi="Arial" w:cs="Arial"/>
          <w:color w:val="000000"/>
        </w:rPr>
        <w:t xml:space="preserve"> </w:t>
      </w:r>
      <w:r w:rsidR="00D8538F" w:rsidRPr="00A77C75">
        <w:rPr>
          <w:rFonts w:ascii="Arial" w:hAnsi="Arial" w:cs="Arial"/>
          <w:b/>
          <w:bCs/>
          <w:color w:val="000000"/>
        </w:rPr>
        <w:t xml:space="preserve">September WTI crude oil rallied $1.00 to $41.92 and this market looks headed still higher. We have a $43 objective for our recommended longs but see $45 as possible. </w:t>
      </w:r>
      <w:r w:rsidR="00D8538F" w:rsidRPr="00A77C75">
        <w:rPr>
          <w:rFonts w:ascii="Arial" w:hAnsi="Arial" w:cs="Arial"/>
          <w:color w:val="000000"/>
        </w:rPr>
        <w:t>OPEC has been doing a great job in keeping output at reasonable levels and appears in good shape at least through September. Demand is improving, particularly in Europe and the U</w:t>
      </w:r>
      <w:r w:rsidR="00A77C75">
        <w:rPr>
          <w:rFonts w:ascii="Arial" w:hAnsi="Arial" w:cs="Arial"/>
          <w:color w:val="000000"/>
        </w:rPr>
        <w:t>.</w:t>
      </w:r>
      <w:r w:rsidR="00D8538F" w:rsidRPr="00A77C75">
        <w:rPr>
          <w:rFonts w:ascii="Arial" w:hAnsi="Arial" w:cs="Arial"/>
          <w:color w:val="000000"/>
        </w:rPr>
        <w:t>S</w:t>
      </w:r>
      <w:r w:rsidR="00A77C75">
        <w:rPr>
          <w:rFonts w:ascii="Arial" w:hAnsi="Arial" w:cs="Arial"/>
          <w:color w:val="000000"/>
        </w:rPr>
        <w:t>.</w:t>
      </w:r>
      <w:r w:rsidR="00D8538F" w:rsidRPr="00A77C75">
        <w:rPr>
          <w:rFonts w:ascii="Arial" w:hAnsi="Arial" w:cs="Arial"/>
          <w:color w:val="000000"/>
        </w:rPr>
        <w:t xml:space="preserve"> and looks headed for further gains. Tomorrow is DOE inventory day with the consensus calling for crude stocks to decline by 1.9 million barrels. We are retaining our bullish bias.</w:t>
      </w:r>
    </w:p>
    <w:p w14:paraId="483576EB" w14:textId="77777777" w:rsidR="005B3B34" w:rsidRPr="00A77C75" w:rsidRDefault="00D8538F" w:rsidP="00D8538F">
      <w:pPr>
        <w:ind w:right="-720"/>
        <w:jc w:val="both"/>
        <w:rPr>
          <w:rFonts w:ascii="Arial" w:hAnsi="Arial" w:cs="Arial"/>
          <w:color w:val="000000"/>
        </w:rPr>
      </w:pPr>
      <w:r w:rsidRPr="00A77C75">
        <w:rPr>
          <w:rFonts w:ascii="Arial" w:hAnsi="Arial" w:cs="Arial"/>
          <w:color w:val="000000"/>
        </w:rPr>
        <w:t>   </w:t>
      </w:r>
    </w:p>
    <w:p w14:paraId="082F54E0" w14:textId="61991131" w:rsidR="00D8538F" w:rsidRPr="00A77C75" w:rsidRDefault="00D8538F" w:rsidP="00D8538F">
      <w:pPr>
        <w:ind w:right="-720"/>
        <w:jc w:val="both"/>
        <w:rPr>
          <w:rFonts w:ascii="Arial" w:hAnsi="Arial" w:cs="Arial"/>
          <w:color w:val="000000"/>
        </w:rPr>
      </w:pPr>
      <w:r w:rsidRPr="00A77C75">
        <w:rPr>
          <w:rFonts w:ascii="Arial" w:hAnsi="Arial" w:cs="Arial"/>
          <w:color w:val="000000"/>
        </w:rPr>
        <w:t xml:space="preserve">The CRB Index was down 14 to 149.42 yesterday. It </w:t>
      </w:r>
      <w:r w:rsidR="008A2911" w:rsidRPr="00A77C75">
        <w:rPr>
          <w:rFonts w:ascii="Arial" w:hAnsi="Arial" w:cs="Arial"/>
          <w:color w:val="000000"/>
        </w:rPr>
        <w:t>h</w:t>
      </w:r>
      <w:r w:rsidRPr="00A77C75">
        <w:rPr>
          <w:rFonts w:ascii="Arial" w:hAnsi="Arial" w:cs="Arial"/>
          <w:color w:val="000000"/>
        </w:rPr>
        <w:t>as fallen 20.3% year to date and has risen 1.19% in the past month. We have a bullish bias at these levels. Keep the faith!</w:t>
      </w:r>
    </w:p>
    <w:p w14:paraId="1AD7D8AA" w14:textId="77777777" w:rsidR="00D8538F" w:rsidRPr="00D8538F" w:rsidRDefault="00D8538F" w:rsidP="00D8538F">
      <w:pPr>
        <w:ind w:right="-720"/>
        <w:jc w:val="both"/>
        <w:rPr>
          <w:rFonts w:ascii="Arial" w:hAnsi="Arial" w:cs="Arial"/>
          <w:color w:val="000000"/>
          <w:sz w:val="24"/>
          <w:szCs w:val="24"/>
        </w:rPr>
      </w:pPr>
    </w:p>
    <w:p w14:paraId="659FA994" w14:textId="77777777" w:rsidR="00D8538F" w:rsidRDefault="00D8538F" w:rsidP="00D8538F">
      <w:pPr>
        <w:rPr>
          <w:rFonts w:ascii="Arial" w:hAnsi="Arial" w:cs="Arial"/>
          <w:color w:val="000000"/>
          <w:sz w:val="20"/>
          <w:szCs w:val="20"/>
        </w:rPr>
      </w:pPr>
      <w:r>
        <w:rPr>
          <w:rFonts w:ascii="Arial" w:hAnsi="Arial" w:cs="Arial"/>
          <w:color w:val="000000"/>
          <w:sz w:val="20"/>
          <w:szCs w:val="20"/>
        </w:rPr>
        <w:t>BILL O'NEILL</w:t>
      </w:r>
    </w:p>
    <w:p w14:paraId="393978F8" w14:textId="77777777" w:rsidR="00D8538F" w:rsidRDefault="00D8538F" w:rsidP="00D8538F">
      <w:pPr>
        <w:rPr>
          <w:rFonts w:ascii="Arial" w:hAnsi="Arial" w:cs="Arial"/>
          <w:color w:val="000000"/>
          <w:sz w:val="20"/>
          <w:szCs w:val="20"/>
        </w:rPr>
      </w:pPr>
      <w:r>
        <w:rPr>
          <w:rFonts w:ascii="Arial" w:hAnsi="Arial" w:cs="Arial"/>
          <w:color w:val="000000"/>
          <w:sz w:val="20"/>
          <w:szCs w:val="20"/>
        </w:rPr>
        <w:t>201-314-3854</w:t>
      </w:r>
    </w:p>
    <w:p w14:paraId="79684407" w14:textId="3006AE2A" w:rsidR="00D8538F" w:rsidRDefault="00D8538F" w:rsidP="004E3720">
      <w:pPr>
        <w:ind w:left="7920" w:firstLine="720"/>
        <w:rPr>
          <w:rFonts w:ascii="Arial" w:hAnsi="Arial" w:cs="Arial"/>
          <w:b/>
          <w:color w:val="FF0000"/>
          <w:sz w:val="20"/>
          <w:szCs w:val="20"/>
        </w:rPr>
      </w:pPr>
    </w:p>
    <w:p w14:paraId="0B545136" w14:textId="77777777" w:rsidR="00D8538F" w:rsidRDefault="00D8538F" w:rsidP="004E3720">
      <w:pPr>
        <w:ind w:left="7920" w:firstLine="720"/>
        <w:rPr>
          <w:rFonts w:ascii="Arial" w:hAnsi="Arial" w:cs="Arial"/>
          <w:b/>
          <w:color w:val="FF0000"/>
          <w:sz w:val="20"/>
          <w:szCs w:val="20"/>
        </w:rPr>
      </w:pPr>
    </w:p>
    <w:p w14:paraId="15A587AB" w14:textId="0A5265A5" w:rsidR="00F009B6" w:rsidRDefault="00F009B6" w:rsidP="004E3720">
      <w:pPr>
        <w:ind w:left="7920" w:firstLine="720"/>
        <w:rPr>
          <w:rFonts w:ascii="Arial" w:hAnsi="Arial" w:cs="Arial"/>
          <w:b/>
          <w:color w:val="FF0000"/>
          <w:sz w:val="20"/>
          <w:szCs w:val="20"/>
        </w:rPr>
      </w:pPr>
    </w:p>
    <w:p w14:paraId="3D83AE3B" w14:textId="77777777" w:rsidR="006957F7" w:rsidRDefault="006957F7" w:rsidP="00E66A70">
      <w:pPr>
        <w:pStyle w:val="FootnoteText"/>
        <w:ind w:left="-720" w:right="-720" w:firstLine="0"/>
        <w:jc w:val="center"/>
        <w:outlineLvl w:val="0"/>
        <w:rPr>
          <w:rFonts w:ascii="Bookman Old Style" w:hAnsi="Bookman Old Style"/>
          <w:b/>
          <w:color w:val="000000"/>
        </w:rPr>
      </w:pPr>
    </w:p>
    <w:p w14:paraId="01B067BE" w14:textId="77777777" w:rsidR="006957F7" w:rsidRDefault="006957F7" w:rsidP="00E66A70">
      <w:pPr>
        <w:pStyle w:val="FootnoteText"/>
        <w:ind w:left="-720" w:right="-720" w:firstLine="0"/>
        <w:jc w:val="center"/>
        <w:outlineLvl w:val="0"/>
        <w:rPr>
          <w:rFonts w:ascii="Bookman Old Style" w:hAnsi="Bookman Old Style"/>
          <w:b/>
          <w:color w:val="000000"/>
        </w:rPr>
      </w:pPr>
    </w:p>
    <w:p w14:paraId="7CA1ECC2" w14:textId="77777777" w:rsidR="006957F7" w:rsidRDefault="006957F7" w:rsidP="00E66A70">
      <w:pPr>
        <w:pStyle w:val="FootnoteText"/>
        <w:ind w:left="-720" w:right="-720" w:firstLine="0"/>
        <w:jc w:val="center"/>
        <w:outlineLvl w:val="0"/>
        <w:rPr>
          <w:rFonts w:ascii="Bookman Old Style" w:hAnsi="Bookman Old Style"/>
          <w:b/>
          <w:color w:val="000000"/>
        </w:rPr>
      </w:pPr>
    </w:p>
    <w:p w14:paraId="339C0DD2" w14:textId="77777777" w:rsidR="006957F7" w:rsidRDefault="006957F7" w:rsidP="00E66A70">
      <w:pPr>
        <w:pStyle w:val="FootnoteText"/>
        <w:ind w:left="-720" w:right="-720" w:firstLine="0"/>
        <w:jc w:val="center"/>
        <w:outlineLvl w:val="0"/>
        <w:rPr>
          <w:rFonts w:ascii="Bookman Old Style" w:hAnsi="Bookman Old Style"/>
          <w:b/>
          <w:color w:val="000000"/>
        </w:rPr>
      </w:pPr>
    </w:p>
    <w:p w14:paraId="7D45B958" w14:textId="77777777" w:rsidR="006957F7" w:rsidRDefault="006957F7" w:rsidP="00E66A70">
      <w:pPr>
        <w:pStyle w:val="FootnoteText"/>
        <w:ind w:left="-720" w:right="-720" w:firstLine="0"/>
        <w:jc w:val="center"/>
        <w:outlineLvl w:val="0"/>
        <w:rPr>
          <w:rFonts w:ascii="Bookman Old Style" w:hAnsi="Bookman Old Style"/>
          <w:b/>
          <w:color w:val="000000"/>
        </w:rPr>
      </w:pPr>
    </w:p>
    <w:p w14:paraId="347FC9EB" w14:textId="77777777" w:rsidR="006957F7" w:rsidRDefault="006957F7" w:rsidP="00E66A70">
      <w:pPr>
        <w:pStyle w:val="FootnoteText"/>
        <w:ind w:left="-720" w:right="-720" w:firstLine="0"/>
        <w:jc w:val="center"/>
        <w:outlineLvl w:val="0"/>
        <w:rPr>
          <w:rFonts w:ascii="Bookman Old Style" w:hAnsi="Bookman Old Style"/>
          <w:b/>
          <w:color w:val="000000"/>
        </w:rPr>
      </w:pPr>
    </w:p>
    <w:p w14:paraId="58208EBE" w14:textId="76E46EE9" w:rsidR="00C26E1F" w:rsidRPr="005827A8" w:rsidRDefault="00C26E1F" w:rsidP="00E66A70">
      <w:pPr>
        <w:pStyle w:val="FootnoteText"/>
        <w:ind w:left="-720" w:right="-720" w:firstLine="0"/>
        <w:jc w:val="center"/>
        <w:outlineLvl w:val="0"/>
        <w:rPr>
          <w:rFonts w:ascii="Bookman Old Style" w:hAnsi="Bookman Old Style"/>
          <w:b/>
          <w:color w:val="000000"/>
        </w:rPr>
      </w:pPr>
      <w:r w:rsidRPr="005827A8">
        <w:rPr>
          <w:rFonts w:ascii="Bookman Old Style" w:hAnsi="Bookman Old Style"/>
          <w:b/>
          <w:color w:val="000000"/>
        </w:rPr>
        <w:t>Bill O’Neill/Ron Lawson</w:t>
      </w:r>
    </w:p>
    <w:p w14:paraId="7410F081" w14:textId="38139F71" w:rsidR="00C26E1F" w:rsidRPr="005827A8" w:rsidRDefault="00C26E1F" w:rsidP="00E66A70">
      <w:pPr>
        <w:pStyle w:val="FootnoteText"/>
        <w:ind w:left="-720" w:right="-720" w:firstLine="0"/>
        <w:jc w:val="center"/>
        <w:rPr>
          <w:b/>
          <w:color w:val="C0C0C0"/>
        </w:rPr>
      </w:pPr>
      <w:r w:rsidRPr="005827A8">
        <w:rPr>
          <w:b/>
          <w:color w:val="000080"/>
        </w:rPr>
        <w:t>L</w:t>
      </w:r>
      <w:r w:rsidRPr="005827A8">
        <w:rPr>
          <w:b/>
          <w:color w:val="C0C0C0"/>
        </w:rPr>
        <w:t>awson/</w:t>
      </w:r>
      <w:r w:rsidRPr="005827A8">
        <w:rPr>
          <w:b/>
          <w:color w:val="000080"/>
        </w:rPr>
        <w:t>O</w:t>
      </w:r>
      <w:r w:rsidRPr="005827A8">
        <w:rPr>
          <w:b/>
          <w:color w:val="C0C0C0"/>
        </w:rPr>
        <w:t>’Neill</w:t>
      </w:r>
      <w:r w:rsidRPr="005827A8">
        <w:rPr>
          <w:b/>
          <w:color w:val="000080"/>
        </w:rPr>
        <w:t xml:space="preserve"> G</w:t>
      </w:r>
      <w:r w:rsidRPr="005827A8">
        <w:rPr>
          <w:b/>
          <w:color w:val="C0C0C0"/>
        </w:rPr>
        <w:t>lobal</w:t>
      </w:r>
      <w:r w:rsidRPr="005827A8">
        <w:rPr>
          <w:b/>
          <w:color w:val="000080"/>
        </w:rPr>
        <w:t xml:space="preserve"> I</w:t>
      </w:r>
      <w:r w:rsidRPr="005827A8">
        <w:rPr>
          <w:b/>
          <w:color w:val="C0C0C0"/>
        </w:rPr>
        <w:t>nstitutional</w:t>
      </w:r>
      <w:r w:rsidRPr="005827A8">
        <w:rPr>
          <w:b/>
        </w:rPr>
        <w:t xml:space="preserve"> </w:t>
      </w:r>
      <w:r w:rsidRPr="005827A8">
        <w:rPr>
          <w:b/>
          <w:color w:val="000080"/>
        </w:rPr>
        <w:t>C</w:t>
      </w:r>
      <w:r w:rsidRPr="005827A8">
        <w:rPr>
          <w:b/>
          <w:color w:val="C0C0C0"/>
        </w:rPr>
        <w:t>ommodity</w:t>
      </w:r>
      <w:r w:rsidRPr="005827A8">
        <w:rPr>
          <w:b/>
          <w:color w:val="000080"/>
        </w:rPr>
        <w:t xml:space="preserve"> Advisors</w:t>
      </w:r>
      <w:r w:rsidRPr="005827A8">
        <w:rPr>
          <w:b/>
          <w:color w:val="C0C0C0"/>
        </w:rPr>
        <w:t>, LLC</w:t>
      </w:r>
    </w:p>
    <w:p w14:paraId="48E76AC4" w14:textId="77E3F703" w:rsidR="00C26E1F" w:rsidRPr="005827A8" w:rsidRDefault="00B24F09" w:rsidP="00E66A70">
      <w:pPr>
        <w:pStyle w:val="FootnoteText"/>
        <w:ind w:left="-720" w:right="-720" w:firstLine="0"/>
        <w:jc w:val="center"/>
        <w:rPr>
          <w:b/>
          <w:color w:val="0000FF"/>
        </w:rPr>
      </w:pPr>
      <w:hyperlink r:id="rId10" w:history="1">
        <w:r w:rsidR="00A2730A" w:rsidRPr="005C5392">
          <w:rPr>
            <w:rStyle w:val="Hyperlink"/>
            <w:b/>
          </w:rPr>
          <w:t>www.logicadvisors.com</w:t>
        </w:r>
      </w:hyperlink>
      <w:r w:rsidR="00A2730A">
        <w:rPr>
          <w:b/>
          <w:color w:val="0000FF"/>
        </w:rPr>
        <w:t xml:space="preserve"> </w:t>
      </w:r>
    </w:p>
    <w:p w14:paraId="70F7BC3D" w14:textId="21FF4019" w:rsidR="00C26E1F" w:rsidRDefault="00C26E1F" w:rsidP="006E6908">
      <w:pPr>
        <w:pStyle w:val="FootnoteText"/>
        <w:ind w:left="-720" w:right="-810" w:firstLine="0"/>
        <w:jc w:val="right"/>
        <w:rPr>
          <w:sz w:val="16"/>
        </w:rPr>
      </w:pPr>
      <w:r>
        <w:rPr>
          <w:sz w:val="16"/>
        </w:rPr>
        <w:t>Trading in futures and options on futures is not appropriate for all persons, as the risk of loss is substantial. Therefore, except for those considered to be bona fide hedgers, only risk capital should be used in futures trading. Information contained herein is based on reports or communications or other sources believed to be reliable. Neither the information contained herein nor any opinion expressed shall be construed to constitute an offer to sell or a solicitation to buy any securities mentioned herein.</w:t>
      </w:r>
      <w:r w:rsidRPr="00427360">
        <w:rPr>
          <w:sz w:val="16"/>
        </w:rPr>
        <w:t xml:space="preserve"> </w:t>
      </w:r>
      <w:r>
        <w:rPr>
          <w:sz w:val="16"/>
        </w:rPr>
        <w:t xml:space="preserve">                                                         The content of this letter is the Copyrighted property of L.O.G.I.C. Advisors, LLC.                                                 </w:t>
      </w:r>
      <w:r>
        <w:rPr>
          <w:sz w:val="16"/>
        </w:rPr>
        <w:fldChar w:fldCharType="begin"/>
      </w:r>
      <w:r>
        <w:rPr>
          <w:sz w:val="16"/>
        </w:rPr>
        <w:instrText xml:space="preserve"> DATE \@ "yyyy-MM-dd" </w:instrText>
      </w:r>
      <w:r>
        <w:rPr>
          <w:sz w:val="16"/>
        </w:rPr>
        <w:fldChar w:fldCharType="separate"/>
      </w:r>
      <w:r w:rsidR="00FC5609">
        <w:rPr>
          <w:noProof/>
          <w:sz w:val="16"/>
        </w:rPr>
        <w:t>2020-07-21</w:t>
      </w:r>
      <w:r>
        <w:rPr>
          <w:sz w:val="16"/>
        </w:rPr>
        <w:fldChar w:fldCharType="end"/>
      </w:r>
    </w:p>
    <w:p w14:paraId="6AFD6499" w14:textId="1BFE7A3A" w:rsidR="00501C62" w:rsidRDefault="00C26E1F" w:rsidP="00571406">
      <w:pPr>
        <w:pStyle w:val="FootnoteText"/>
        <w:ind w:left="-900" w:right="-720"/>
        <w:jc w:val="center"/>
        <w:outlineLvl w:val="0"/>
      </w:pPr>
      <w:r w:rsidRPr="00B538CC">
        <w:rPr>
          <w:b/>
          <w:color w:val="FF0000"/>
          <w:sz w:val="24"/>
          <w:szCs w:val="24"/>
        </w:rPr>
        <w:t>This Letter may not be replicated, in part or in whole, without prior written permission of its authors.</w:t>
      </w:r>
    </w:p>
    <w:sectPr w:rsidR="00501C62" w:rsidSect="00FE4576">
      <w:pgSz w:w="12240" w:h="15840"/>
      <w:pgMar w:top="450" w:right="153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2CCA0" w14:textId="77777777" w:rsidR="00B24F09" w:rsidRDefault="00B24F09" w:rsidP="00EA2359">
      <w:r>
        <w:separator/>
      </w:r>
    </w:p>
  </w:endnote>
  <w:endnote w:type="continuationSeparator" w:id="0">
    <w:p w14:paraId="143ADA5E" w14:textId="77777777" w:rsidR="00B24F09" w:rsidRDefault="00B24F09" w:rsidP="00EA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B3FA" w14:textId="77777777" w:rsidR="00B24F09" w:rsidRDefault="00B24F09" w:rsidP="00EA2359">
      <w:r>
        <w:separator/>
      </w:r>
    </w:p>
  </w:footnote>
  <w:footnote w:type="continuationSeparator" w:id="0">
    <w:p w14:paraId="27098B4E" w14:textId="77777777" w:rsidR="00B24F09" w:rsidRDefault="00B24F09" w:rsidP="00EA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1F"/>
    <w:rsid w:val="00017688"/>
    <w:rsid w:val="00023E15"/>
    <w:rsid w:val="00026B83"/>
    <w:rsid w:val="00041220"/>
    <w:rsid w:val="0004323A"/>
    <w:rsid w:val="000464CC"/>
    <w:rsid w:val="00046E06"/>
    <w:rsid w:val="0005561B"/>
    <w:rsid w:val="000738E3"/>
    <w:rsid w:val="00073F6F"/>
    <w:rsid w:val="000744DC"/>
    <w:rsid w:val="00083DCC"/>
    <w:rsid w:val="000859BB"/>
    <w:rsid w:val="00086D47"/>
    <w:rsid w:val="0009301D"/>
    <w:rsid w:val="00093EEA"/>
    <w:rsid w:val="00094609"/>
    <w:rsid w:val="00095DBA"/>
    <w:rsid w:val="00097D9B"/>
    <w:rsid w:val="000B5464"/>
    <w:rsid w:val="000B760D"/>
    <w:rsid w:val="000C3B7D"/>
    <w:rsid w:val="000E0155"/>
    <w:rsid w:val="000E1F0D"/>
    <w:rsid w:val="000E245F"/>
    <w:rsid w:val="000F7A9B"/>
    <w:rsid w:val="001106C4"/>
    <w:rsid w:val="00125B2F"/>
    <w:rsid w:val="00154115"/>
    <w:rsid w:val="001559B7"/>
    <w:rsid w:val="00156B20"/>
    <w:rsid w:val="00164314"/>
    <w:rsid w:val="001658D9"/>
    <w:rsid w:val="00170023"/>
    <w:rsid w:val="001777A9"/>
    <w:rsid w:val="001A3032"/>
    <w:rsid w:val="001B28B7"/>
    <w:rsid w:val="001C45B1"/>
    <w:rsid w:val="001C624D"/>
    <w:rsid w:val="001D4A7F"/>
    <w:rsid w:val="001E558C"/>
    <w:rsid w:val="00206467"/>
    <w:rsid w:val="00210F1A"/>
    <w:rsid w:val="00212033"/>
    <w:rsid w:val="002134B5"/>
    <w:rsid w:val="00216C8B"/>
    <w:rsid w:val="00221FAC"/>
    <w:rsid w:val="002239C6"/>
    <w:rsid w:val="00231973"/>
    <w:rsid w:val="0023288E"/>
    <w:rsid w:val="00232BD3"/>
    <w:rsid w:val="0023429F"/>
    <w:rsid w:val="00234AFB"/>
    <w:rsid w:val="002354ED"/>
    <w:rsid w:val="00235FF1"/>
    <w:rsid w:val="0024290E"/>
    <w:rsid w:val="002455FF"/>
    <w:rsid w:val="00251F79"/>
    <w:rsid w:val="00256DB5"/>
    <w:rsid w:val="002621D8"/>
    <w:rsid w:val="00263CDF"/>
    <w:rsid w:val="0027011F"/>
    <w:rsid w:val="002743CD"/>
    <w:rsid w:val="00284225"/>
    <w:rsid w:val="0028620F"/>
    <w:rsid w:val="002A102E"/>
    <w:rsid w:val="002A3336"/>
    <w:rsid w:val="002B3977"/>
    <w:rsid w:val="002B7A3C"/>
    <w:rsid w:val="002C4024"/>
    <w:rsid w:val="002C4764"/>
    <w:rsid w:val="002E67FA"/>
    <w:rsid w:val="002F1909"/>
    <w:rsid w:val="002F5B08"/>
    <w:rsid w:val="002F7735"/>
    <w:rsid w:val="003142ED"/>
    <w:rsid w:val="00323A78"/>
    <w:rsid w:val="003273C4"/>
    <w:rsid w:val="0033369E"/>
    <w:rsid w:val="0033382A"/>
    <w:rsid w:val="00337E2C"/>
    <w:rsid w:val="00352CB8"/>
    <w:rsid w:val="00354A84"/>
    <w:rsid w:val="00356D8F"/>
    <w:rsid w:val="00370BCA"/>
    <w:rsid w:val="00371254"/>
    <w:rsid w:val="00386393"/>
    <w:rsid w:val="00387EEF"/>
    <w:rsid w:val="0039028D"/>
    <w:rsid w:val="00391E80"/>
    <w:rsid w:val="0039440A"/>
    <w:rsid w:val="003A2ACB"/>
    <w:rsid w:val="003A5C81"/>
    <w:rsid w:val="003B5852"/>
    <w:rsid w:val="003B741D"/>
    <w:rsid w:val="003C08DE"/>
    <w:rsid w:val="003C6B38"/>
    <w:rsid w:val="003D1F49"/>
    <w:rsid w:val="003D7296"/>
    <w:rsid w:val="003E40B9"/>
    <w:rsid w:val="003F0D24"/>
    <w:rsid w:val="0040326F"/>
    <w:rsid w:val="0040486B"/>
    <w:rsid w:val="0041031E"/>
    <w:rsid w:val="00414727"/>
    <w:rsid w:val="00415FE4"/>
    <w:rsid w:val="004243B4"/>
    <w:rsid w:val="004260D1"/>
    <w:rsid w:val="0042627D"/>
    <w:rsid w:val="00431494"/>
    <w:rsid w:val="00452D8C"/>
    <w:rsid w:val="00456661"/>
    <w:rsid w:val="00461AF8"/>
    <w:rsid w:val="00466D2D"/>
    <w:rsid w:val="00483C63"/>
    <w:rsid w:val="00490B9B"/>
    <w:rsid w:val="00495DDD"/>
    <w:rsid w:val="004A352E"/>
    <w:rsid w:val="004A62D8"/>
    <w:rsid w:val="004A6DAD"/>
    <w:rsid w:val="004A7A3E"/>
    <w:rsid w:val="004B0835"/>
    <w:rsid w:val="004B135E"/>
    <w:rsid w:val="004B154B"/>
    <w:rsid w:val="004C2BD5"/>
    <w:rsid w:val="004E3720"/>
    <w:rsid w:val="00501C62"/>
    <w:rsid w:val="00507C27"/>
    <w:rsid w:val="00511798"/>
    <w:rsid w:val="0051247D"/>
    <w:rsid w:val="005143AB"/>
    <w:rsid w:val="005173E8"/>
    <w:rsid w:val="00517D85"/>
    <w:rsid w:val="0054531D"/>
    <w:rsid w:val="0054684C"/>
    <w:rsid w:val="005509C6"/>
    <w:rsid w:val="00552235"/>
    <w:rsid w:val="00552A6F"/>
    <w:rsid w:val="00554583"/>
    <w:rsid w:val="00557AD1"/>
    <w:rsid w:val="00561B70"/>
    <w:rsid w:val="005626B9"/>
    <w:rsid w:val="00564618"/>
    <w:rsid w:val="00565395"/>
    <w:rsid w:val="00567146"/>
    <w:rsid w:val="00570045"/>
    <w:rsid w:val="00571406"/>
    <w:rsid w:val="00571B58"/>
    <w:rsid w:val="005827A8"/>
    <w:rsid w:val="0058630E"/>
    <w:rsid w:val="00586877"/>
    <w:rsid w:val="005A35F7"/>
    <w:rsid w:val="005B126C"/>
    <w:rsid w:val="005B3B34"/>
    <w:rsid w:val="005C1733"/>
    <w:rsid w:val="005C185E"/>
    <w:rsid w:val="005C1E22"/>
    <w:rsid w:val="005C2C9F"/>
    <w:rsid w:val="005C6B85"/>
    <w:rsid w:val="005D1FB2"/>
    <w:rsid w:val="005D48BB"/>
    <w:rsid w:val="005D567D"/>
    <w:rsid w:val="005D79E2"/>
    <w:rsid w:val="005E47A9"/>
    <w:rsid w:val="005F03F2"/>
    <w:rsid w:val="005F533F"/>
    <w:rsid w:val="00616895"/>
    <w:rsid w:val="006222A6"/>
    <w:rsid w:val="0062394F"/>
    <w:rsid w:val="00635F6C"/>
    <w:rsid w:val="00642C8F"/>
    <w:rsid w:val="00643B73"/>
    <w:rsid w:val="0064688E"/>
    <w:rsid w:val="00650B90"/>
    <w:rsid w:val="00650FE3"/>
    <w:rsid w:val="00682508"/>
    <w:rsid w:val="0068527C"/>
    <w:rsid w:val="006957F7"/>
    <w:rsid w:val="006A00DA"/>
    <w:rsid w:val="006A117F"/>
    <w:rsid w:val="006B3742"/>
    <w:rsid w:val="006B6882"/>
    <w:rsid w:val="006D0485"/>
    <w:rsid w:val="006D1103"/>
    <w:rsid w:val="006E6908"/>
    <w:rsid w:val="006F18A8"/>
    <w:rsid w:val="007075FA"/>
    <w:rsid w:val="0072358B"/>
    <w:rsid w:val="00726472"/>
    <w:rsid w:val="007352F5"/>
    <w:rsid w:val="0074461D"/>
    <w:rsid w:val="007649EE"/>
    <w:rsid w:val="00771752"/>
    <w:rsid w:val="00775078"/>
    <w:rsid w:val="00786297"/>
    <w:rsid w:val="007920CC"/>
    <w:rsid w:val="007A1763"/>
    <w:rsid w:val="007B0B64"/>
    <w:rsid w:val="007B31E0"/>
    <w:rsid w:val="007B45EC"/>
    <w:rsid w:val="007C6D4F"/>
    <w:rsid w:val="007D292A"/>
    <w:rsid w:val="007D2FCB"/>
    <w:rsid w:val="007D3F59"/>
    <w:rsid w:val="007D6624"/>
    <w:rsid w:val="007E25A0"/>
    <w:rsid w:val="007E5C6C"/>
    <w:rsid w:val="007F5742"/>
    <w:rsid w:val="0080770A"/>
    <w:rsid w:val="00807874"/>
    <w:rsid w:val="00823564"/>
    <w:rsid w:val="00825255"/>
    <w:rsid w:val="00825A92"/>
    <w:rsid w:val="008307C1"/>
    <w:rsid w:val="00831815"/>
    <w:rsid w:val="00852F94"/>
    <w:rsid w:val="008530D9"/>
    <w:rsid w:val="008536DC"/>
    <w:rsid w:val="00853C74"/>
    <w:rsid w:val="0085586A"/>
    <w:rsid w:val="008615BD"/>
    <w:rsid w:val="00872799"/>
    <w:rsid w:val="0087305B"/>
    <w:rsid w:val="00882176"/>
    <w:rsid w:val="0088337D"/>
    <w:rsid w:val="008916CD"/>
    <w:rsid w:val="008921CD"/>
    <w:rsid w:val="00894DC5"/>
    <w:rsid w:val="00896618"/>
    <w:rsid w:val="008970BE"/>
    <w:rsid w:val="008A0307"/>
    <w:rsid w:val="008A2911"/>
    <w:rsid w:val="008A4293"/>
    <w:rsid w:val="008A6804"/>
    <w:rsid w:val="008A6931"/>
    <w:rsid w:val="008B4E6C"/>
    <w:rsid w:val="008C19F3"/>
    <w:rsid w:val="008C23A4"/>
    <w:rsid w:val="008C319A"/>
    <w:rsid w:val="008D198B"/>
    <w:rsid w:val="008D1E7B"/>
    <w:rsid w:val="008E0186"/>
    <w:rsid w:val="008E159C"/>
    <w:rsid w:val="008E611F"/>
    <w:rsid w:val="008E6B24"/>
    <w:rsid w:val="008E7464"/>
    <w:rsid w:val="008E7E21"/>
    <w:rsid w:val="008F73AF"/>
    <w:rsid w:val="00922A19"/>
    <w:rsid w:val="00924506"/>
    <w:rsid w:val="00932A63"/>
    <w:rsid w:val="00966195"/>
    <w:rsid w:val="00977426"/>
    <w:rsid w:val="009827EF"/>
    <w:rsid w:val="009879E7"/>
    <w:rsid w:val="00987B31"/>
    <w:rsid w:val="009A0150"/>
    <w:rsid w:val="009A4DCA"/>
    <w:rsid w:val="009B243A"/>
    <w:rsid w:val="009B451B"/>
    <w:rsid w:val="009C1599"/>
    <w:rsid w:val="009C2E0A"/>
    <w:rsid w:val="009D0B50"/>
    <w:rsid w:val="009D0B88"/>
    <w:rsid w:val="009D3EF8"/>
    <w:rsid w:val="009E101C"/>
    <w:rsid w:val="009E41EB"/>
    <w:rsid w:val="009F5DD7"/>
    <w:rsid w:val="00A02B20"/>
    <w:rsid w:val="00A12DC5"/>
    <w:rsid w:val="00A2730A"/>
    <w:rsid w:val="00A27430"/>
    <w:rsid w:val="00A27E4E"/>
    <w:rsid w:val="00A35016"/>
    <w:rsid w:val="00A44A45"/>
    <w:rsid w:val="00A46067"/>
    <w:rsid w:val="00A475E2"/>
    <w:rsid w:val="00A6032C"/>
    <w:rsid w:val="00A65FE0"/>
    <w:rsid w:val="00A67D19"/>
    <w:rsid w:val="00A763CD"/>
    <w:rsid w:val="00A76B05"/>
    <w:rsid w:val="00A76CE1"/>
    <w:rsid w:val="00A77596"/>
    <w:rsid w:val="00A77C75"/>
    <w:rsid w:val="00A83951"/>
    <w:rsid w:val="00A874C6"/>
    <w:rsid w:val="00AA60AA"/>
    <w:rsid w:val="00AA6996"/>
    <w:rsid w:val="00AA6DA7"/>
    <w:rsid w:val="00AB0A7A"/>
    <w:rsid w:val="00AB559E"/>
    <w:rsid w:val="00AB6DA1"/>
    <w:rsid w:val="00AB7738"/>
    <w:rsid w:val="00AD5B27"/>
    <w:rsid w:val="00AD6E81"/>
    <w:rsid w:val="00AE451E"/>
    <w:rsid w:val="00B008BD"/>
    <w:rsid w:val="00B01470"/>
    <w:rsid w:val="00B125F2"/>
    <w:rsid w:val="00B13C61"/>
    <w:rsid w:val="00B146E2"/>
    <w:rsid w:val="00B1515A"/>
    <w:rsid w:val="00B156AB"/>
    <w:rsid w:val="00B24F09"/>
    <w:rsid w:val="00B4787F"/>
    <w:rsid w:val="00B501FD"/>
    <w:rsid w:val="00B648FB"/>
    <w:rsid w:val="00B67082"/>
    <w:rsid w:val="00B67544"/>
    <w:rsid w:val="00B75AFD"/>
    <w:rsid w:val="00B80C13"/>
    <w:rsid w:val="00B919A5"/>
    <w:rsid w:val="00BA1594"/>
    <w:rsid w:val="00BC6533"/>
    <w:rsid w:val="00BD56F8"/>
    <w:rsid w:val="00BF3C9B"/>
    <w:rsid w:val="00C026F5"/>
    <w:rsid w:val="00C26E1F"/>
    <w:rsid w:val="00C33481"/>
    <w:rsid w:val="00C370D9"/>
    <w:rsid w:val="00C5214C"/>
    <w:rsid w:val="00C63271"/>
    <w:rsid w:val="00C64AA9"/>
    <w:rsid w:val="00C679E0"/>
    <w:rsid w:val="00C70F69"/>
    <w:rsid w:val="00C81AEC"/>
    <w:rsid w:val="00C823C3"/>
    <w:rsid w:val="00CA01EF"/>
    <w:rsid w:val="00CA3915"/>
    <w:rsid w:val="00CA422F"/>
    <w:rsid w:val="00CC1BB1"/>
    <w:rsid w:val="00CD336A"/>
    <w:rsid w:val="00CD4A91"/>
    <w:rsid w:val="00CE0DD4"/>
    <w:rsid w:val="00CE1115"/>
    <w:rsid w:val="00CE4AFB"/>
    <w:rsid w:val="00CE5D48"/>
    <w:rsid w:val="00CF1F3F"/>
    <w:rsid w:val="00D01318"/>
    <w:rsid w:val="00D03C46"/>
    <w:rsid w:val="00D07D06"/>
    <w:rsid w:val="00D10388"/>
    <w:rsid w:val="00D13DE3"/>
    <w:rsid w:val="00D20F9F"/>
    <w:rsid w:val="00D3170F"/>
    <w:rsid w:val="00D32E17"/>
    <w:rsid w:val="00D41430"/>
    <w:rsid w:val="00D41DC6"/>
    <w:rsid w:val="00D46EC0"/>
    <w:rsid w:val="00D80133"/>
    <w:rsid w:val="00D8538F"/>
    <w:rsid w:val="00D9240E"/>
    <w:rsid w:val="00D962C4"/>
    <w:rsid w:val="00DA0487"/>
    <w:rsid w:val="00DA1AAD"/>
    <w:rsid w:val="00DA1C56"/>
    <w:rsid w:val="00DA49B1"/>
    <w:rsid w:val="00DA52E9"/>
    <w:rsid w:val="00DA6CC9"/>
    <w:rsid w:val="00DB4518"/>
    <w:rsid w:val="00DC5933"/>
    <w:rsid w:val="00DC5D21"/>
    <w:rsid w:val="00DD75EB"/>
    <w:rsid w:val="00DE4C1E"/>
    <w:rsid w:val="00DE69A0"/>
    <w:rsid w:val="00DE6A36"/>
    <w:rsid w:val="00DF1F7B"/>
    <w:rsid w:val="00DF2004"/>
    <w:rsid w:val="00DF287B"/>
    <w:rsid w:val="00DF31E8"/>
    <w:rsid w:val="00DF5047"/>
    <w:rsid w:val="00DF5BF7"/>
    <w:rsid w:val="00DF73A7"/>
    <w:rsid w:val="00DF75FD"/>
    <w:rsid w:val="00E02508"/>
    <w:rsid w:val="00E06533"/>
    <w:rsid w:val="00E07EEC"/>
    <w:rsid w:val="00E270D6"/>
    <w:rsid w:val="00E3284B"/>
    <w:rsid w:val="00E4010D"/>
    <w:rsid w:val="00E4596B"/>
    <w:rsid w:val="00E62C56"/>
    <w:rsid w:val="00E66A70"/>
    <w:rsid w:val="00E743DE"/>
    <w:rsid w:val="00E753F3"/>
    <w:rsid w:val="00E7631D"/>
    <w:rsid w:val="00E764D2"/>
    <w:rsid w:val="00E83EEC"/>
    <w:rsid w:val="00E906CD"/>
    <w:rsid w:val="00E94E6B"/>
    <w:rsid w:val="00E953D0"/>
    <w:rsid w:val="00EA00CA"/>
    <w:rsid w:val="00EA0F2E"/>
    <w:rsid w:val="00EA2359"/>
    <w:rsid w:val="00EA37C8"/>
    <w:rsid w:val="00EA45FB"/>
    <w:rsid w:val="00ED0367"/>
    <w:rsid w:val="00ED2E2B"/>
    <w:rsid w:val="00ED77CA"/>
    <w:rsid w:val="00EE01F3"/>
    <w:rsid w:val="00EF1022"/>
    <w:rsid w:val="00EF1F42"/>
    <w:rsid w:val="00EF231A"/>
    <w:rsid w:val="00EF2ADD"/>
    <w:rsid w:val="00EF6C46"/>
    <w:rsid w:val="00F009B6"/>
    <w:rsid w:val="00F11981"/>
    <w:rsid w:val="00F13393"/>
    <w:rsid w:val="00F215C1"/>
    <w:rsid w:val="00F50C21"/>
    <w:rsid w:val="00F566DE"/>
    <w:rsid w:val="00F61B7E"/>
    <w:rsid w:val="00F630F1"/>
    <w:rsid w:val="00F709B8"/>
    <w:rsid w:val="00F74895"/>
    <w:rsid w:val="00F80C8D"/>
    <w:rsid w:val="00F82BD2"/>
    <w:rsid w:val="00F92657"/>
    <w:rsid w:val="00FA29C7"/>
    <w:rsid w:val="00FC137E"/>
    <w:rsid w:val="00FC5609"/>
    <w:rsid w:val="00FD50D4"/>
    <w:rsid w:val="00FD74F3"/>
    <w:rsid w:val="00FE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B3EC"/>
  <w15:chartTrackingRefBased/>
  <w15:docId w15:val="{37B203DF-90CC-4102-B3CB-915ABA78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1C"/>
    <w:pPr>
      <w:ind w:firstLine="360"/>
    </w:pPr>
    <w:rPr>
      <w:sz w:val="22"/>
      <w:szCs w:val="22"/>
      <w:lang w:bidi="en-US"/>
    </w:rPr>
  </w:style>
  <w:style w:type="paragraph" w:styleId="Heading1">
    <w:name w:val="heading 1"/>
    <w:basedOn w:val="Normal"/>
    <w:next w:val="Normal"/>
    <w:link w:val="Heading1Char"/>
    <w:uiPriority w:val="9"/>
    <w:qFormat/>
    <w:rsid w:val="009E101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E101C"/>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E101C"/>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E101C"/>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E101C"/>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E101C"/>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E101C"/>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E101C"/>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E101C"/>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6E1F"/>
    <w:rPr>
      <w:rFonts w:ascii="Times New Roman" w:hAnsi="Times New Roman"/>
      <w:sz w:val="20"/>
      <w:szCs w:val="20"/>
    </w:rPr>
  </w:style>
  <w:style w:type="character" w:customStyle="1" w:styleId="FootnoteTextChar">
    <w:name w:val="Footnote Text Char"/>
    <w:link w:val="FootnoteText"/>
    <w:semiHidden/>
    <w:rsid w:val="00C26E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6E1F"/>
    <w:rPr>
      <w:rFonts w:ascii="Tahoma" w:hAnsi="Tahoma" w:cs="Tahoma"/>
      <w:sz w:val="16"/>
      <w:szCs w:val="16"/>
    </w:rPr>
  </w:style>
  <w:style w:type="character" w:customStyle="1" w:styleId="BalloonTextChar">
    <w:name w:val="Balloon Text Char"/>
    <w:link w:val="BalloonText"/>
    <w:uiPriority w:val="99"/>
    <w:semiHidden/>
    <w:rsid w:val="00C26E1F"/>
    <w:rPr>
      <w:rFonts w:ascii="Tahoma" w:hAnsi="Tahoma" w:cs="Tahoma"/>
      <w:sz w:val="16"/>
      <w:szCs w:val="16"/>
    </w:rPr>
  </w:style>
  <w:style w:type="character" w:customStyle="1" w:styleId="Heading1Char">
    <w:name w:val="Heading 1 Char"/>
    <w:link w:val="Heading1"/>
    <w:uiPriority w:val="9"/>
    <w:rsid w:val="009E101C"/>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9E101C"/>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9E101C"/>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9E101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E101C"/>
    <w:rPr>
      <w:rFonts w:ascii="Cambria" w:eastAsia="Times New Roman" w:hAnsi="Cambria" w:cs="Times New Roman"/>
      <w:color w:val="4F81BD"/>
    </w:rPr>
  </w:style>
  <w:style w:type="character" w:customStyle="1" w:styleId="Heading6Char">
    <w:name w:val="Heading 6 Char"/>
    <w:link w:val="Heading6"/>
    <w:uiPriority w:val="9"/>
    <w:semiHidden/>
    <w:rsid w:val="009E101C"/>
    <w:rPr>
      <w:rFonts w:ascii="Cambria" w:eastAsia="Times New Roman" w:hAnsi="Cambria" w:cs="Times New Roman"/>
      <w:i/>
      <w:iCs/>
      <w:color w:val="4F81BD"/>
    </w:rPr>
  </w:style>
  <w:style w:type="character" w:customStyle="1" w:styleId="Heading7Char">
    <w:name w:val="Heading 7 Char"/>
    <w:link w:val="Heading7"/>
    <w:uiPriority w:val="9"/>
    <w:semiHidden/>
    <w:rsid w:val="009E101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E101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E101C"/>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E101C"/>
    <w:rPr>
      <w:b/>
      <w:bCs/>
      <w:sz w:val="18"/>
      <w:szCs w:val="18"/>
    </w:rPr>
  </w:style>
  <w:style w:type="paragraph" w:styleId="Title">
    <w:name w:val="Title"/>
    <w:basedOn w:val="Normal"/>
    <w:next w:val="Normal"/>
    <w:link w:val="TitleChar"/>
    <w:uiPriority w:val="10"/>
    <w:qFormat/>
    <w:rsid w:val="009E101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9E101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E101C"/>
    <w:pPr>
      <w:spacing w:before="200" w:after="900"/>
      <w:ind w:firstLine="0"/>
      <w:jc w:val="right"/>
    </w:pPr>
    <w:rPr>
      <w:i/>
      <w:iCs/>
      <w:sz w:val="24"/>
      <w:szCs w:val="24"/>
    </w:rPr>
  </w:style>
  <w:style w:type="character" w:customStyle="1" w:styleId="SubtitleChar">
    <w:name w:val="Subtitle Char"/>
    <w:link w:val="Subtitle"/>
    <w:uiPriority w:val="11"/>
    <w:rsid w:val="009E101C"/>
    <w:rPr>
      <w:rFonts w:ascii="Calibri"/>
      <w:i/>
      <w:iCs/>
      <w:sz w:val="24"/>
      <w:szCs w:val="24"/>
    </w:rPr>
  </w:style>
  <w:style w:type="character" w:styleId="Strong">
    <w:name w:val="Strong"/>
    <w:uiPriority w:val="22"/>
    <w:qFormat/>
    <w:rsid w:val="009E101C"/>
    <w:rPr>
      <w:b/>
      <w:bCs/>
      <w:spacing w:val="0"/>
    </w:rPr>
  </w:style>
  <w:style w:type="character" w:styleId="Emphasis">
    <w:name w:val="Emphasis"/>
    <w:uiPriority w:val="20"/>
    <w:qFormat/>
    <w:rsid w:val="009E101C"/>
    <w:rPr>
      <w:b/>
      <w:bCs/>
      <w:i/>
      <w:iCs/>
      <w:color w:val="5A5A5A"/>
    </w:rPr>
  </w:style>
  <w:style w:type="paragraph" w:styleId="NoSpacing">
    <w:name w:val="No Spacing"/>
    <w:basedOn w:val="Normal"/>
    <w:link w:val="NoSpacingChar"/>
    <w:uiPriority w:val="1"/>
    <w:qFormat/>
    <w:rsid w:val="009E101C"/>
    <w:pPr>
      <w:ind w:firstLine="0"/>
    </w:pPr>
  </w:style>
  <w:style w:type="character" w:customStyle="1" w:styleId="NoSpacingChar">
    <w:name w:val="No Spacing Char"/>
    <w:basedOn w:val="DefaultParagraphFont"/>
    <w:link w:val="NoSpacing"/>
    <w:uiPriority w:val="1"/>
    <w:rsid w:val="009E101C"/>
  </w:style>
  <w:style w:type="paragraph" w:styleId="ListParagraph">
    <w:name w:val="List Paragraph"/>
    <w:basedOn w:val="Normal"/>
    <w:uiPriority w:val="34"/>
    <w:qFormat/>
    <w:rsid w:val="009E101C"/>
    <w:pPr>
      <w:ind w:left="720"/>
      <w:contextualSpacing/>
    </w:pPr>
  </w:style>
  <w:style w:type="paragraph" w:styleId="Quote">
    <w:name w:val="Quote"/>
    <w:basedOn w:val="Normal"/>
    <w:next w:val="Normal"/>
    <w:link w:val="QuoteChar"/>
    <w:uiPriority w:val="29"/>
    <w:qFormat/>
    <w:rsid w:val="009E101C"/>
    <w:rPr>
      <w:rFonts w:ascii="Cambria" w:hAnsi="Cambria"/>
      <w:i/>
      <w:iCs/>
      <w:color w:val="5A5A5A"/>
    </w:rPr>
  </w:style>
  <w:style w:type="character" w:customStyle="1" w:styleId="QuoteChar">
    <w:name w:val="Quote Char"/>
    <w:link w:val="Quote"/>
    <w:uiPriority w:val="29"/>
    <w:rsid w:val="009E101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E101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9E101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E101C"/>
    <w:rPr>
      <w:i/>
      <w:iCs/>
      <w:color w:val="5A5A5A"/>
    </w:rPr>
  </w:style>
  <w:style w:type="character" w:styleId="IntenseEmphasis">
    <w:name w:val="Intense Emphasis"/>
    <w:uiPriority w:val="21"/>
    <w:qFormat/>
    <w:rsid w:val="009E101C"/>
    <w:rPr>
      <w:b/>
      <w:bCs/>
      <w:i/>
      <w:iCs/>
      <w:color w:val="4F81BD"/>
      <w:sz w:val="22"/>
      <w:szCs w:val="22"/>
    </w:rPr>
  </w:style>
  <w:style w:type="character" w:styleId="SubtleReference">
    <w:name w:val="Subtle Reference"/>
    <w:uiPriority w:val="31"/>
    <w:qFormat/>
    <w:rsid w:val="009E101C"/>
    <w:rPr>
      <w:color w:val="auto"/>
      <w:u w:val="single" w:color="9BBB59"/>
    </w:rPr>
  </w:style>
  <w:style w:type="character" w:styleId="IntenseReference">
    <w:name w:val="Intense Reference"/>
    <w:uiPriority w:val="32"/>
    <w:qFormat/>
    <w:rsid w:val="009E101C"/>
    <w:rPr>
      <w:b/>
      <w:bCs/>
      <w:color w:val="76923C"/>
      <w:u w:val="single" w:color="9BBB59"/>
    </w:rPr>
  </w:style>
  <w:style w:type="character" w:styleId="BookTitle">
    <w:name w:val="Book Title"/>
    <w:uiPriority w:val="33"/>
    <w:qFormat/>
    <w:rsid w:val="009E101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E101C"/>
    <w:pPr>
      <w:outlineLvl w:val="9"/>
    </w:pPr>
  </w:style>
  <w:style w:type="character" w:styleId="Hyperlink">
    <w:name w:val="Hyperlink"/>
    <w:uiPriority w:val="99"/>
    <w:unhideWhenUsed/>
    <w:rsid w:val="00A2730A"/>
    <w:rPr>
      <w:color w:val="0000FF"/>
      <w:u w:val="single"/>
    </w:rPr>
  </w:style>
  <w:style w:type="paragraph" w:styleId="Header">
    <w:name w:val="header"/>
    <w:basedOn w:val="Normal"/>
    <w:link w:val="HeaderChar"/>
    <w:uiPriority w:val="99"/>
    <w:unhideWhenUsed/>
    <w:rsid w:val="00EA2359"/>
    <w:pPr>
      <w:tabs>
        <w:tab w:val="center" w:pos="4680"/>
        <w:tab w:val="right" w:pos="9360"/>
      </w:tabs>
    </w:pPr>
  </w:style>
  <w:style w:type="character" w:customStyle="1" w:styleId="HeaderChar">
    <w:name w:val="Header Char"/>
    <w:link w:val="Header"/>
    <w:uiPriority w:val="99"/>
    <w:rsid w:val="00EA2359"/>
    <w:rPr>
      <w:sz w:val="22"/>
      <w:szCs w:val="22"/>
      <w:lang w:bidi="en-US"/>
    </w:rPr>
  </w:style>
  <w:style w:type="paragraph" w:styleId="Footer">
    <w:name w:val="footer"/>
    <w:basedOn w:val="Normal"/>
    <w:link w:val="FooterChar"/>
    <w:uiPriority w:val="99"/>
    <w:unhideWhenUsed/>
    <w:rsid w:val="00EA2359"/>
    <w:pPr>
      <w:tabs>
        <w:tab w:val="center" w:pos="4680"/>
        <w:tab w:val="right" w:pos="9360"/>
      </w:tabs>
    </w:pPr>
  </w:style>
  <w:style w:type="character" w:customStyle="1" w:styleId="FooterChar">
    <w:name w:val="Footer Char"/>
    <w:link w:val="Footer"/>
    <w:uiPriority w:val="99"/>
    <w:rsid w:val="00EA2359"/>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794">
      <w:bodyDiv w:val="1"/>
      <w:marLeft w:val="0"/>
      <w:marRight w:val="0"/>
      <w:marTop w:val="0"/>
      <w:marBottom w:val="0"/>
      <w:divBdr>
        <w:top w:val="none" w:sz="0" w:space="0" w:color="auto"/>
        <w:left w:val="none" w:sz="0" w:space="0" w:color="auto"/>
        <w:bottom w:val="none" w:sz="0" w:space="0" w:color="auto"/>
        <w:right w:val="none" w:sz="0" w:space="0" w:color="auto"/>
      </w:divBdr>
    </w:div>
    <w:div w:id="36860644">
      <w:bodyDiv w:val="1"/>
      <w:marLeft w:val="0"/>
      <w:marRight w:val="0"/>
      <w:marTop w:val="0"/>
      <w:marBottom w:val="0"/>
      <w:divBdr>
        <w:top w:val="none" w:sz="0" w:space="0" w:color="auto"/>
        <w:left w:val="none" w:sz="0" w:space="0" w:color="auto"/>
        <w:bottom w:val="none" w:sz="0" w:space="0" w:color="auto"/>
        <w:right w:val="none" w:sz="0" w:space="0" w:color="auto"/>
      </w:divBdr>
    </w:div>
    <w:div w:id="57750780">
      <w:bodyDiv w:val="1"/>
      <w:marLeft w:val="0"/>
      <w:marRight w:val="0"/>
      <w:marTop w:val="0"/>
      <w:marBottom w:val="0"/>
      <w:divBdr>
        <w:top w:val="none" w:sz="0" w:space="0" w:color="auto"/>
        <w:left w:val="none" w:sz="0" w:space="0" w:color="auto"/>
        <w:bottom w:val="none" w:sz="0" w:space="0" w:color="auto"/>
        <w:right w:val="none" w:sz="0" w:space="0" w:color="auto"/>
      </w:divBdr>
    </w:div>
    <w:div w:id="135226644">
      <w:bodyDiv w:val="1"/>
      <w:marLeft w:val="0"/>
      <w:marRight w:val="0"/>
      <w:marTop w:val="0"/>
      <w:marBottom w:val="0"/>
      <w:divBdr>
        <w:top w:val="none" w:sz="0" w:space="0" w:color="auto"/>
        <w:left w:val="none" w:sz="0" w:space="0" w:color="auto"/>
        <w:bottom w:val="none" w:sz="0" w:space="0" w:color="auto"/>
        <w:right w:val="none" w:sz="0" w:space="0" w:color="auto"/>
      </w:divBdr>
    </w:div>
    <w:div w:id="196164791">
      <w:bodyDiv w:val="1"/>
      <w:marLeft w:val="0"/>
      <w:marRight w:val="0"/>
      <w:marTop w:val="0"/>
      <w:marBottom w:val="0"/>
      <w:divBdr>
        <w:top w:val="none" w:sz="0" w:space="0" w:color="auto"/>
        <w:left w:val="none" w:sz="0" w:space="0" w:color="auto"/>
        <w:bottom w:val="none" w:sz="0" w:space="0" w:color="auto"/>
        <w:right w:val="none" w:sz="0" w:space="0" w:color="auto"/>
      </w:divBdr>
    </w:div>
    <w:div w:id="202788814">
      <w:bodyDiv w:val="1"/>
      <w:marLeft w:val="0"/>
      <w:marRight w:val="0"/>
      <w:marTop w:val="0"/>
      <w:marBottom w:val="0"/>
      <w:divBdr>
        <w:top w:val="none" w:sz="0" w:space="0" w:color="auto"/>
        <w:left w:val="none" w:sz="0" w:space="0" w:color="auto"/>
        <w:bottom w:val="none" w:sz="0" w:space="0" w:color="auto"/>
        <w:right w:val="none" w:sz="0" w:space="0" w:color="auto"/>
      </w:divBdr>
    </w:div>
    <w:div w:id="349068441">
      <w:bodyDiv w:val="1"/>
      <w:marLeft w:val="0"/>
      <w:marRight w:val="0"/>
      <w:marTop w:val="0"/>
      <w:marBottom w:val="0"/>
      <w:divBdr>
        <w:top w:val="none" w:sz="0" w:space="0" w:color="auto"/>
        <w:left w:val="none" w:sz="0" w:space="0" w:color="auto"/>
        <w:bottom w:val="none" w:sz="0" w:space="0" w:color="auto"/>
        <w:right w:val="none" w:sz="0" w:space="0" w:color="auto"/>
      </w:divBdr>
    </w:div>
    <w:div w:id="385765503">
      <w:bodyDiv w:val="1"/>
      <w:marLeft w:val="0"/>
      <w:marRight w:val="0"/>
      <w:marTop w:val="0"/>
      <w:marBottom w:val="0"/>
      <w:divBdr>
        <w:top w:val="none" w:sz="0" w:space="0" w:color="auto"/>
        <w:left w:val="none" w:sz="0" w:space="0" w:color="auto"/>
        <w:bottom w:val="none" w:sz="0" w:space="0" w:color="auto"/>
        <w:right w:val="none" w:sz="0" w:space="0" w:color="auto"/>
      </w:divBdr>
    </w:div>
    <w:div w:id="417410213">
      <w:bodyDiv w:val="1"/>
      <w:marLeft w:val="0"/>
      <w:marRight w:val="0"/>
      <w:marTop w:val="0"/>
      <w:marBottom w:val="0"/>
      <w:divBdr>
        <w:top w:val="none" w:sz="0" w:space="0" w:color="auto"/>
        <w:left w:val="none" w:sz="0" w:space="0" w:color="auto"/>
        <w:bottom w:val="none" w:sz="0" w:space="0" w:color="auto"/>
        <w:right w:val="none" w:sz="0" w:space="0" w:color="auto"/>
      </w:divBdr>
    </w:div>
    <w:div w:id="427889698">
      <w:bodyDiv w:val="1"/>
      <w:marLeft w:val="0"/>
      <w:marRight w:val="0"/>
      <w:marTop w:val="0"/>
      <w:marBottom w:val="0"/>
      <w:divBdr>
        <w:top w:val="none" w:sz="0" w:space="0" w:color="auto"/>
        <w:left w:val="none" w:sz="0" w:space="0" w:color="auto"/>
        <w:bottom w:val="none" w:sz="0" w:space="0" w:color="auto"/>
        <w:right w:val="none" w:sz="0" w:space="0" w:color="auto"/>
      </w:divBdr>
    </w:div>
    <w:div w:id="453403978">
      <w:bodyDiv w:val="1"/>
      <w:marLeft w:val="0"/>
      <w:marRight w:val="0"/>
      <w:marTop w:val="0"/>
      <w:marBottom w:val="0"/>
      <w:divBdr>
        <w:top w:val="none" w:sz="0" w:space="0" w:color="auto"/>
        <w:left w:val="none" w:sz="0" w:space="0" w:color="auto"/>
        <w:bottom w:val="none" w:sz="0" w:space="0" w:color="auto"/>
        <w:right w:val="none" w:sz="0" w:space="0" w:color="auto"/>
      </w:divBdr>
    </w:div>
    <w:div w:id="474419791">
      <w:bodyDiv w:val="1"/>
      <w:marLeft w:val="0"/>
      <w:marRight w:val="0"/>
      <w:marTop w:val="0"/>
      <w:marBottom w:val="0"/>
      <w:divBdr>
        <w:top w:val="none" w:sz="0" w:space="0" w:color="auto"/>
        <w:left w:val="none" w:sz="0" w:space="0" w:color="auto"/>
        <w:bottom w:val="none" w:sz="0" w:space="0" w:color="auto"/>
        <w:right w:val="none" w:sz="0" w:space="0" w:color="auto"/>
      </w:divBdr>
    </w:div>
    <w:div w:id="484591486">
      <w:bodyDiv w:val="1"/>
      <w:marLeft w:val="0"/>
      <w:marRight w:val="0"/>
      <w:marTop w:val="0"/>
      <w:marBottom w:val="0"/>
      <w:divBdr>
        <w:top w:val="none" w:sz="0" w:space="0" w:color="auto"/>
        <w:left w:val="none" w:sz="0" w:space="0" w:color="auto"/>
        <w:bottom w:val="none" w:sz="0" w:space="0" w:color="auto"/>
        <w:right w:val="none" w:sz="0" w:space="0" w:color="auto"/>
      </w:divBdr>
    </w:div>
    <w:div w:id="513426106">
      <w:bodyDiv w:val="1"/>
      <w:marLeft w:val="0"/>
      <w:marRight w:val="0"/>
      <w:marTop w:val="0"/>
      <w:marBottom w:val="0"/>
      <w:divBdr>
        <w:top w:val="none" w:sz="0" w:space="0" w:color="auto"/>
        <w:left w:val="none" w:sz="0" w:space="0" w:color="auto"/>
        <w:bottom w:val="none" w:sz="0" w:space="0" w:color="auto"/>
        <w:right w:val="none" w:sz="0" w:space="0" w:color="auto"/>
      </w:divBdr>
    </w:div>
    <w:div w:id="520818190">
      <w:bodyDiv w:val="1"/>
      <w:marLeft w:val="0"/>
      <w:marRight w:val="0"/>
      <w:marTop w:val="0"/>
      <w:marBottom w:val="0"/>
      <w:divBdr>
        <w:top w:val="none" w:sz="0" w:space="0" w:color="auto"/>
        <w:left w:val="none" w:sz="0" w:space="0" w:color="auto"/>
        <w:bottom w:val="none" w:sz="0" w:space="0" w:color="auto"/>
        <w:right w:val="none" w:sz="0" w:space="0" w:color="auto"/>
      </w:divBdr>
    </w:div>
    <w:div w:id="567571430">
      <w:bodyDiv w:val="1"/>
      <w:marLeft w:val="0"/>
      <w:marRight w:val="0"/>
      <w:marTop w:val="0"/>
      <w:marBottom w:val="0"/>
      <w:divBdr>
        <w:top w:val="none" w:sz="0" w:space="0" w:color="auto"/>
        <w:left w:val="none" w:sz="0" w:space="0" w:color="auto"/>
        <w:bottom w:val="none" w:sz="0" w:space="0" w:color="auto"/>
        <w:right w:val="none" w:sz="0" w:space="0" w:color="auto"/>
      </w:divBdr>
    </w:div>
    <w:div w:id="594363194">
      <w:bodyDiv w:val="1"/>
      <w:marLeft w:val="0"/>
      <w:marRight w:val="0"/>
      <w:marTop w:val="0"/>
      <w:marBottom w:val="0"/>
      <w:divBdr>
        <w:top w:val="none" w:sz="0" w:space="0" w:color="auto"/>
        <w:left w:val="none" w:sz="0" w:space="0" w:color="auto"/>
        <w:bottom w:val="none" w:sz="0" w:space="0" w:color="auto"/>
        <w:right w:val="none" w:sz="0" w:space="0" w:color="auto"/>
      </w:divBdr>
    </w:div>
    <w:div w:id="619455580">
      <w:bodyDiv w:val="1"/>
      <w:marLeft w:val="0"/>
      <w:marRight w:val="0"/>
      <w:marTop w:val="0"/>
      <w:marBottom w:val="0"/>
      <w:divBdr>
        <w:top w:val="none" w:sz="0" w:space="0" w:color="auto"/>
        <w:left w:val="none" w:sz="0" w:space="0" w:color="auto"/>
        <w:bottom w:val="none" w:sz="0" w:space="0" w:color="auto"/>
        <w:right w:val="none" w:sz="0" w:space="0" w:color="auto"/>
      </w:divBdr>
    </w:div>
    <w:div w:id="644242360">
      <w:bodyDiv w:val="1"/>
      <w:marLeft w:val="0"/>
      <w:marRight w:val="0"/>
      <w:marTop w:val="0"/>
      <w:marBottom w:val="0"/>
      <w:divBdr>
        <w:top w:val="none" w:sz="0" w:space="0" w:color="auto"/>
        <w:left w:val="none" w:sz="0" w:space="0" w:color="auto"/>
        <w:bottom w:val="none" w:sz="0" w:space="0" w:color="auto"/>
        <w:right w:val="none" w:sz="0" w:space="0" w:color="auto"/>
      </w:divBdr>
    </w:div>
    <w:div w:id="647395022">
      <w:bodyDiv w:val="1"/>
      <w:marLeft w:val="0"/>
      <w:marRight w:val="0"/>
      <w:marTop w:val="0"/>
      <w:marBottom w:val="0"/>
      <w:divBdr>
        <w:top w:val="none" w:sz="0" w:space="0" w:color="auto"/>
        <w:left w:val="none" w:sz="0" w:space="0" w:color="auto"/>
        <w:bottom w:val="none" w:sz="0" w:space="0" w:color="auto"/>
        <w:right w:val="none" w:sz="0" w:space="0" w:color="auto"/>
      </w:divBdr>
    </w:div>
    <w:div w:id="693459762">
      <w:bodyDiv w:val="1"/>
      <w:marLeft w:val="0"/>
      <w:marRight w:val="0"/>
      <w:marTop w:val="0"/>
      <w:marBottom w:val="0"/>
      <w:divBdr>
        <w:top w:val="none" w:sz="0" w:space="0" w:color="auto"/>
        <w:left w:val="none" w:sz="0" w:space="0" w:color="auto"/>
        <w:bottom w:val="none" w:sz="0" w:space="0" w:color="auto"/>
        <w:right w:val="none" w:sz="0" w:space="0" w:color="auto"/>
      </w:divBdr>
    </w:div>
    <w:div w:id="706299286">
      <w:bodyDiv w:val="1"/>
      <w:marLeft w:val="0"/>
      <w:marRight w:val="0"/>
      <w:marTop w:val="0"/>
      <w:marBottom w:val="0"/>
      <w:divBdr>
        <w:top w:val="none" w:sz="0" w:space="0" w:color="auto"/>
        <w:left w:val="none" w:sz="0" w:space="0" w:color="auto"/>
        <w:bottom w:val="none" w:sz="0" w:space="0" w:color="auto"/>
        <w:right w:val="none" w:sz="0" w:space="0" w:color="auto"/>
      </w:divBdr>
    </w:div>
    <w:div w:id="749546450">
      <w:bodyDiv w:val="1"/>
      <w:marLeft w:val="0"/>
      <w:marRight w:val="0"/>
      <w:marTop w:val="0"/>
      <w:marBottom w:val="0"/>
      <w:divBdr>
        <w:top w:val="none" w:sz="0" w:space="0" w:color="auto"/>
        <w:left w:val="none" w:sz="0" w:space="0" w:color="auto"/>
        <w:bottom w:val="none" w:sz="0" w:space="0" w:color="auto"/>
        <w:right w:val="none" w:sz="0" w:space="0" w:color="auto"/>
      </w:divBdr>
    </w:div>
    <w:div w:id="771895448">
      <w:bodyDiv w:val="1"/>
      <w:marLeft w:val="0"/>
      <w:marRight w:val="0"/>
      <w:marTop w:val="0"/>
      <w:marBottom w:val="0"/>
      <w:divBdr>
        <w:top w:val="none" w:sz="0" w:space="0" w:color="auto"/>
        <w:left w:val="none" w:sz="0" w:space="0" w:color="auto"/>
        <w:bottom w:val="none" w:sz="0" w:space="0" w:color="auto"/>
        <w:right w:val="none" w:sz="0" w:space="0" w:color="auto"/>
      </w:divBdr>
    </w:div>
    <w:div w:id="814104740">
      <w:bodyDiv w:val="1"/>
      <w:marLeft w:val="0"/>
      <w:marRight w:val="0"/>
      <w:marTop w:val="0"/>
      <w:marBottom w:val="0"/>
      <w:divBdr>
        <w:top w:val="none" w:sz="0" w:space="0" w:color="auto"/>
        <w:left w:val="none" w:sz="0" w:space="0" w:color="auto"/>
        <w:bottom w:val="none" w:sz="0" w:space="0" w:color="auto"/>
        <w:right w:val="none" w:sz="0" w:space="0" w:color="auto"/>
      </w:divBdr>
    </w:div>
    <w:div w:id="822355803">
      <w:bodyDiv w:val="1"/>
      <w:marLeft w:val="0"/>
      <w:marRight w:val="0"/>
      <w:marTop w:val="0"/>
      <w:marBottom w:val="0"/>
      <w:divBdr>
        <w:top w:val="none" w:sz="0" w:space="0" w:color="auto"/>
        <w:left w:val="none" w:sz="0" w:space="0" w:color="auto"/>
        <w:bottom w:val="none" w:sz="0" w:space="0" w:color="auto"/>
        <w:right w:val="none" w:sz="0" w:space="0" w:color="auto"/>
      </w:divBdr>
    </w:div>
    <w:div w:id="851142141">
      <w:bodyDiv w:val="1"/>
      <w:marLeft w:val="0"/>
      <w:marRight w:val="0"/>
      <w:marTop w:val="0"/>
      <w:marBottom w:val="0"/>
      <w:divBdr>
        <w:top w:val="none" w:sz="0" w:space="0" w:color="auto"/>
        <w:left w:val="none" w:sz="0" w:space="0" w:color="auto"/>
        <w:bottom w:val="none" w:sz="0" w:space="0" w:color="auto"/>
        <w:right w:val="none" w:sz="0" w:space="0" w:color="auto"/>
      </w:divBdr>
    </w:div>
    <w:div w:id="889074509">
      <w:bodyDiv w:val="1"/>
      <w:marLeft w:val="0"/>
      <w:marRight w:val="0"/>
      <w:marTop w:val="0"/>
      <w:marBottom w:val="0"/>
      <w:divBdr>
        <w:top w:val="none" w:sz="0" w:space="0" w:color="auto"/>
        <w:left w:val="none" w:sz="0" w:space="0" w:color="auto"/>
        <w:bottom w:val="none" w:sz="0" w:space="0" w:color="auto"/>
        <w:right w:val="none" w:sz="0" w:space="0" w:color="auto"/>
      </w:divBdr>
    </w:div>
    <w:div w:id="935941495">
      <w:bodyDiv w:val="1"/>
      <w:marLeft w:val="0"/>
      <w:marRight w:val="0"/>
      <w:marTop w:val="0"/>
      <w:marBottom w:val="0"/>
      <w:divBdr>
        <w:top w:val="none" w:sz="0" w:space="0" w:color="auto"/>
        <w:left w:val="none" w:sz="0" w:space="0" w:color="auto"/>
        <w:bottom w:val="none" w:sz="0" w:space="0" w:color="auto"/>
        <w:right w:val="none" w:sz="0" w:space="0" w:color="auto"/>
      </w:divBdr>
    </w:div>
    <w:div w:id="942107399">
      <w:bodyDiv w:val="1"/>
      <w:marLeft w:val="0"/>
      <w:marRight w:val="0"/>
      <w:marTop w:val="0"/>
      <w:marBottom w:val="0"/>
      <w:divBdr>
        <w:top w:val="none" w:sz="0" w:space="0" w:color="auto"/>
        <w:left w:val="none" w:sz="0" w:space="0" w:color="auto"/>
        <w:bottom w:val="none" w:sz="0" w:space="0" w:color="auto"/>
        <w:right w:val="none" w:sz="0" w:space="0" w:color="auto"/>
      </w:divBdr>
    </w:div>
    <w:div w:id="967513153">
      <w:bodyDiv w:val="1"/>
      <w:marLeft w:val="0"/>
      <w:marRight w:val="0"/>
      <w:marTop w:val="0"/>
      <w:marBottom w:val="0"/>
      <w:divBdr>
        <w:top w:val="none" w:sz="0" w:space="0" w:color="auto"/>
        <w:left w:val="none" w:sz="0" w:space="0" w:color="auto"/>
        <w:bottom w:val="none" w:sz="0" w:space="0" w:color="auto"/>
        <w:right w:val="none" w:sz="0" w:space="0" w:color="auto"/>
      </w:divBdr>
    </w:div>
    <w:div w:id="993605493">
      <w:bodyDiv w:val="1"/>
      <w:marLeft w:val="0"/>
      <w:marRight w:val="0"/>
      <w:marTop w:val="0"/>
      <w:marBottom w:val="0"/>
      <w:divBdr>
        <w:top w:val="none" w:sz="0" w:space="0" w:color="auto"/>
        <w:left w:val="none" w:sz="0" w:space="0" w:color="auto"/>
        <w:bottom w:val="none" w:sz="0" w:space="0" w:color="auto"/>
        <w:right w:val="none" w:sz="0" w:space="0" w:color="auto"/>
      </w:divBdr>
    </w:div>
    <w:div w:id="1016928862">
      <w:bodyDiv w:val="1"/>
      <w:marLeft w:val="0"/>
      <w:marRight w:val="0"/>
      <w:marTop w:val="0"/>
      <w:marBottom w:val="0"/>
      <w:divBdr>
        <w:top w:val="none" w:sz="0" w:space="0" w:color="auto"/>
        <w:left w:val="none" w:sz="0" w:space="0" w:color="auto"/>
        <w:bottom w:val="none" w:sz="0" w:space="0" w:color="auto"/>
        <w:right w:val="none" w:sz="0" w:space="0" w:color="auto"/>
      </w:divBdr>
    </w:div>
    <w:div w:id="1035814844">
      <w:bodyDiv w:val="1"/>
      <w:marLeft w:val="0"/>
      <w:marRight w:val="0"/>
      <w:marTop w:val="0"/>
      <w:marBottom w:val="0"/>
      <w:divBdr>
        <w:top w:val="none" w:sz="0" w:space="0" w:color="auto"/>
        <w:left w:val="none" w:sz="0" w:space="0" w:color="auto"/>
        <w:bottom w:val="none" w:sz="0" w:space="0" w:color="auto"/>
        <w:right w:val="none" w:sz="0" w:space="0" w:color="auto"/>
      </w:divBdr>
    </w:div>
    <w:div w:id="1394543836">
      <w:bodyDiv w:val="1"/>
      <w:marLeft w:val="0"/>
      <w:marRight w:val="0"/>
      <w:marTop w:val="0"/>
      <w:marBottom w:val="0"/>
      <w:divBdr>
        <w:top w:val="none" w:sz="0" w:space="0" w:color="auto"/>
        <w:left w:val="none" w:sz="0" w:space="0" w:color="auto"/>
        <w:bottom w:val="none" w:sz="0" w:space="0" w:color="auto"/>
        <w:right w:val="none" w:sz="0" w:space="0" w:color="auto"/>
      </w:divBdr>
    </w:div>
    <w:div w:id="1403793689">
      <w:bodyDiv w:val="1"/>
      <w:marLeft w:val="0"/>
      <w:marRight w:val="0"/>
      <w:marTop w:val="0"/>
      <w:marBottom w:val="0"/>
      <w:divBdr>
        <w:top w:val="none" w:sz="0" w:space="0" w:color="auto"/>
        <w:left w:val="none" w:sz="0" w:space="0" w:color="auto"/>
        <w:bottom w:val="none" w:sz="0" w:space="0" w:color="auto"/>
        <w:right w:val="none" w:sz="0" w:space="0" w:color="auto"/>
      </w:divBdr>
    </w:div>
    <w:div w:id="1465200316">
      <w:bodyDiv w:val="1"/>
      <w:marLeft w:val="0"/>
      <w:marRight w:val="0"/>
      <w:marTop w:val="0"/>
      <w:marBottom w:val="0"/>
      <w:divBdr>
        <w:top w:val="none" w:sz="0" w:space="0" w:color="auto"/>
        <w:left w:val="none" w:sz="0" w:space="0" w:color="auto"/>
        <w:bottom w:val="none" w:sz="0" w:space="0" w:color="auto"/>
        <w:right w:val="none" w:sz="0" w:space="0" w:color="auto"/>
      </w:divBdr>
    </w:div>
    <w:div w:id="1574271780">
      <w:bodyDiv w:val="1"/>
      <w:marLeft w:val="0"/>
      <w:marRight w:val="0"/>
      <w:marTop w:val="0"/>
      <w:marBottom w:val="0"/>
      <w:divBdr>
        <w:top w:val="none" w:sz="0" w:space="0" w:color="auto"/>
        <w:left w:val="none" w:sz="0" w:space="0" w:color="auto"/>
        <w:bottom w:val="none" w:sz="0" w:space="0" w:color="auto"/>
        <w:right w:val="none" w:sz="0" w:space="0" w:color="auto"/>
      </w:divBdr>
    </w:div>
    <w:div w:id="1576814400">
      <w:bodyDiv w:val="1"/>
      <w:marLeft w:val="0"/>
      <w:marRight w:val="0"/>
      <w:marTop w:val="0"/>
      <w:marBottom w:val="0"/>
      <w:divBdr>
        <w:top w:val="none" w:sz="0" w:space="0" w:color="auto"/>
        <w:left w:val="none" w:sz="0" w:space="0" w:color="auto"/>
        <w:bottom w:val="none" w:sz="0" w:space="0" w:color="auto"/>
        <w:right w:val="none" w:sz="0" w:space="0" w:color="auto"/>
      </w:divBdr>
    </w:div>
    <w:div w:id="1614364136">
      <w:bodyDiv w:val="1"/>
      <w:marLeft w:val="0"/>
      <w:marRight w:val="0"/>
      <w:marTop w:val="0"/>
      <w:marBottom w:val="0"/>
      <w:divBdr>
        <w:top w:val="none" w:sz="0" w:space="0" w:color="auto"/>
        <w:left w:val="none" w:sz="0" w:space="0" w:color="auto"/>
        <w:bottom w:val="none" w:sz="0" w:space="0" w:color="auto"/>
        <w:right w:val="none" w:sz="0" w:space="0" w:color="auto"/>
      </w:divBdr>
    </w:div>
    <w:div w:id="1631205644">
      <w:bodyDiv w:val="1"/>
      <w:marLeft w:val="0"/>
      <w:marRight w:val="0"/>
      <w:marTop w:val="0"/>
      <w:marBottom w:val="0"/>
      <w:divBdr>
        <w:top w:val="none" w:sz="0" w:space="0" w:color="auto"/>
        <w:left w:val="none" w:sz="0" w:space="0" w:color="auto"/>
        <w:bottom w:val="none" w:sz="0" w:space="0" w:color="auto"/>
        <w:right w:val="none" w:sz="0" w:space="0" w:color="auto"/>
      </w:divBdr>
    </w:div>
    <w:div w:id="1666084607">
      <w:bodyDiv w:val="1"/>
      <w:marLeft w:val="0"/>
      <w:marRight w:val="0"/>
      <w:marTop w:val="0"/>
      <w:marBottom w:val="0"/>
      <w:divBdr>
        <w:top w:val="none" w:sz="0" w:space="0" w:color="auto"/>
        <w:left w:val="none" w:sz="0" w:space="0" w:color="auto"/>
        <w:bottom w:val="none" w:sz="0" w:space="0" w:color="auto"/>
        <w:right w:val="none" w:sz="0" w:space="0" w:color="auto"/>
      </w:divBdr>
    </w:div>
    <w:div w:id="1687172446">
      <w:bodyDiv w:val="1"/>
      <w:marLeft w:val="0"/>
      <w:marRight w:val="0"/>
      <w:marTop w:val="0"/>
      <w:marBottom w:val="0"/>
      <w:divBdr>
        <w:top w:val="none" w:sz="0" w:space="0" w:color="auto"/>
        <w:left w:val="none" w:sz="0" w:space="0" w:color="auto"/>
        <w:bottom w:val="none" w:sz="0" w:space="0" w:color="auto"/>
        <w:right w:val="none" w:sz="0" w:space="0" w:color="auto"/>
      </w:divBdr>
    </w:div>
    <w:div w:id="1691763584">
      <w:bodyDiv w:val="1"/>
      <w:marLeft w:val="0"/>
      <w:marRight w:val="0"/>
      <w:marTop w:val="0"/>
      <w:marBottom w:val="0"/>
      <w:divBdr>
        <w:top w:val="none" w:sz="0" w:space="0" w:color="auto"/>
        <w:left w:val="none" w:sz="0" w:space="0" w:color="auto"/>
        <w:bottom w:val="none" w:sz="0" w:space="0" w:color="auto"/>
        <w:right w:val="none" w:sz="0" w:space="0" w:color="auto"/>
      </w:divBdr>
    </w:div>
    <w:div w:id="1738361819">
      <w:bodyDiv w:val="1"/>
      <w:marLeft w:val="0"/>
      <w:marRight w:val="0"/>
      <w:marTop w:val="0"/>
      <w:marBottom w:val="0"/>
      <w:divBdr>
        <w:top w:val="none" w:sz="0" w:space="0" w:color="auto"/>
        <w:left w:val="none" w:sz="0" w:space="0" w:color="auto"/>
        <w:bottom w:val="none" w:sz="0" w:space="0" w:color="auto"/>
        <w:right w:val="none" w:sz="0" w:space="0" w:color="auto"/>
      </w:divBdr>
    </w:div>
    <w:div w:id="1802573762">
      <w:bodyDiv w:val="1"/>
      <w:marLeft w:val="0"/>
      <w:marRight w:val="0"/>
      <w:marTop w:val="0"/>
      <w:marBottom w:val="0"/>
      <w:divBdr>
        <w:top w:val="none" w:sz="0" w:space="0" w:color="auto"/>
        <w:left w:val="none" w:sz="0" w:space="0" w:color="auto"/>
        <w:bottom w:val="none" w:sz="0" w:space="0" w:color="auto"/>
        <w:right w:val="none" w:sz="0" w:space="0" w:color="auto"/>
      </w:divBdr>
    </w:div>
    <w:div w:id="1863198830">
      <w:bodyDiv w:val="1"/>
      <w:marLeft w:val="0"/>
      <w:marRight w:val="0"/>
      <w:marTop w:val="0"/>
      <w:marBottom w:val="0"/>
      <w:divBdr>
        <w:top w:val="none" w:sz="0" w:space="0" w:color="auto"/>
        <w:left w:val="none" w:sz="0" w:space="0" w:color="auto"/>
        <w:bottom w:val="none" w:sz="0" w:space="0" w:color="auto"/>
        <w:right w:val="none" w:sz="0" w:space="0" w:color="auto"/>
      </w:divBdr>
    </w:div>
    <w:div w:id="1910194555">
      <w:bodyDiv w:val="1"/>
      <w:marLeft w:val="0"/>
      <w:marRight w:val="0"/>
      <w:marTop w:val="0"/>
      <w:marBottom w:val="0"/>
      <w:divBdr>
        <w:top w:val="none" w:sz="0" w:space="0" w:color="auto"/>
        <w:left w:val="none" w:sz="0" w:space="0" w:color="auto"/>
        <w:bottom w:val="none" w:sz="0" w:space="0" w:color="auto"/>
        <w:right w:val="none" w:sz="0" w:space="0" w:color="auto"/>
      </w:divBdr>
    </w:div>
    <w:div w:id="1916477053">
      <w:bodyDiv w:val="1"/>
      <w:marLeft w:val="0"/>
      <w:marRight w:val="0"/>
      <w:marTop w:val="0"/>
      <w:marBottom w:val="0"/>
      <w:divBdr>
        <w:top w:val="none" w:sz="0" w:space="0" w:color="auto"/>
        <w:left w:val="none" w:sz="0" w:space="0" w:color="auto"/>
        <w:bottom w:val="none" w:sz="0" w:space="0" w:color="auto"/>
        <w:right w:val="none" w:sz="0" w:space="0" w:color="auto"/>
      </w:divBdr>
    </w:div>
    <w:div w:id="1958292236">
      <w:bodyDiv w:val="1"/>
      <w:marLeft w:val="0"/>
      <w:marRight w:val="0"/>
      <w:marTop w:val="0"/>
      <w:marBottom w:val="0"/>
      <w:divBdr>
        <w:top w:val="none" w:sz="0" w:space="0" w:color="auto"/>
        <w:left w:val="none" w:sz="0" w:space="0" w:color="auto"/>
        <w:bottom w:val="none" w:sz="0" w:space="0" w:color="auto"/>
        <w:right w:val="none" w:sz="0" w:space="0" w:color="auto"/>
      </w:divBdr>
    </w:div>
    <w:div w:id="1999110812">
      <w:bodyDiv w:val="1"/>
      <w:marLeft w:val="0"/>
      <w:marRight w:val="0"/>
      <w:marTop w:val="0"/>
      <w:marBottom w:val="0"/>
      <w:divBdr>
        <w:top w:val="none" w:sz="0" w:space="0" w:color="auto"/>
        <w:left w:val="none" w:sz="0" w:space="0" w:color="auto"/>
        <w:bottom w:val="none" w:sz="0" w:space="0" w:color="auto"/>
        <w:right w:val="none" w:sz="0" w:space="0" w:color="auto"/>
      </w:divBdr>
    </w:div>
    <w:div w:id="2045863705">
      <w:bodyDiv w:val="1"/>
      <w:marLeft w:val="0"/>
      <w:marRight w:val="0"/>
      <w:marTop w:val="0"/>
      <w:marBottom w:val="0"/>
      <w:divBdr>
        <w:top w:val="none" w:sz="0" w:space="0" w:color="auto"/>
        <w:left w:val="none" w:sz="0" w:space="0" w:color="auto"/>
        <w:bottom w:val="none" w:sz="0" w:space="0" w:color="auto"/>
        <w:right w:val="none" w:sz="0" w:space="0" w:color="auto"/>
      </w:divBdr>
    </w:div>
    <w:div w:id="2060937961">
      <w:bodyDiv w:val="1"/>
      <w:marLeft w:val="0"/>
      <w:marRight w:val="0"/>
      <w:marTop w:val="0"/>
      <w:marBottom w:val="0"/>
      <w:divBdr>
        <w:top w:val="none" w:sz="0" w:space="0" w:color="auto"/>
        <w:left w:val="none" w:sz="0" w:space="0" w:color="auto"/>
        <w:bottom w:val="none" w:sz="0" w:space="0" w:color="auto"/>
        <w:right w:val="none" w:sz="0" w:space="0" w:color="auto"/>
      </w:divBdr>
    </w:div>
    <w:div w:id="2065330965">
      <w:bodyDiv w:val="1"/>
      <w:marLeft w:val="0"/>
      <w:marRight w:val="0"/>
      <w:marTop w:val="0"/>
      <w:marBottom w:val="0"/>
      <w:divBdr>
        <w:top w:val="none" w:sz="0" w:space="0" w:color="auto"/>
        <w:left w:val="none" w:sz="0" w:space="0" w:color="auto"/>
        <w:bottom w:val="none" w:sz="0" w:space="0" w:color="auto"/>
        <w:right w:val="none" w:sz="0" w:space="0" w:color="auto"/>
      </w:divBdr>
    </w:div>
    <w:div w:id="2074354591">
      <w:bodyDiv w:val="1"/>
      <w:marLeft w:val="0"/>
      <w:marRight w:val="0"/>
      <w:marTop w:val="0"/>
      <w:marBottom w:val="0"/>
      <w:divBdr>
        <w:top w:val="none" w:sz="0" w:space="0" w:color="auto"/>
        <w:left w:val="none" w:sz="0" w:space="0" w:color="auto"/>
        <w:bottom w:val="none" w:sz="0" w:space="0" w:color="auto"/>
        <w:right w:val="none" w:sz="0" w:space="0" w:color="auto"/>
      </w:divBdr>
    </w:div>
    <w:div w:id="2093235827">
      <w:bodyDiv w:val="1"/>
      <w:marLeft w:val="0"/>
      <w:marRight w:val="0"/>
      <w:marTop w:val="0"/>
      <w:marBottom w:val="0"/>
      <w:divBdr>
        <w:top w:val="none" w:sz="0" w:space="0" w:color="auto"/>
        <w:left w:val="none" w:sz="0" w:space="0" w:color="auto"/>
        <w:bottom w:val="none" w:sz="0" w:space="0" w:color="auto"/>
        <w:right w:val="none" w:sz="0" w:space="0" w:color="auto"/>
      </w:divBdr>
    </w:div>
    <w:div w:id="2096170538">
      <w:bodyDiv w:val="1"/>
      <w:marLeft w:val="0"/>
      <w:marRight w:val="0"/>
      <w:marTop w:val="0"/>
      <w:marBottom w:val="0"/>
      <w:divBdr>
        <w:top w:val="none" w:sz="0" w:space="0" w:color="auto"/>
        <w:left w:val="none" w:sz="0" w:space="0" w:color="auto"/>
        <w:bottom w:val="none" w:sz="0" w:space="0" w:color="auto"/>
        <w:right w:val="none" w:sz="0" w:space="0" w:color="auto"/>
      </w:divBdr>
    </w:div>
    <w:div w:id="21189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ogicadvisor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42472-7877-4B7C-87ED-5E2DD379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Links>
    <vt:vector size="6" baseType="variant">
      <vt:variant>
        <vt:i4>6029313</vt:i4>
      </vt:variant>
      <vt:variant>
        <vt:i4>0</vt:i4>
      </vt:variant>
      <vt:variant>
        <vt:i4>0</vt:i4>
      </vt:variant>
      <vt:variant>
        <vt:i4>5</vt:i4>
      </vt:variant>
      <vt:variant>
        <vt:lpwstr>http://www.logicadvisors.com/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Celeste Cordoni</cp:lastModifiedBy>
  <cp:revision>4</cp:revision>
  <cp:lastPrinted>2020-07-22T02:38:00Z</cp:lastPrinted>
  <dcterms:created xsi:type="dcterms:W3CDTF">2020-07-22T02:38:00Z</dcterms:created>
  <dcterms:modified xsi:type="dcterms:W3CDTF">2020-07-22T02:39:00Z</dcterms:modified>
</cp:coreProperties>
</file>